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A11D" w14:textId="50FADF83" w:rsidR="004777E0" w:rsidRPr="001E7C53" w:rsidRDefault="006F169C" w:rsidP="00F35418">
      <w:pPr>
        <w:pStyle w:val="Heading1"/>
        <w:tabs>
          <w:tab w:val="left" w:pos="6108"/>
        </w:tabs>
        <w:spacing w:after="520"/>
        <w:rPr>
          <w:color w:val="FFFFFF" w:themeColor="background1"/>
        </w:rPr>
      </w:pPr>
      <w:r w:rsidRPr="001E7C5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39629D" wp14:editId="517423D3">
                <wp:simplePos x="0" y="0"/>
                <wp:positionH relativeFrom="column">
                  <wp:posOffset>-731520</wp:posOffset>
                </wp:positionH>
                <wp:positionV relativeFrom="page">
                  <wp:posOffset>0</wp:posOffset>
                </wp:positionV>
                <wp:extent cx="7772400" cy="131826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1826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F8818" id="Rectangle 3" o:spid="_x0000_s1026" style="position:absolute;margin-left:-57.6pt;margin-top:0;width:612pt;height:103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" fillcolor="#3f387c [3215]" stroked="f" strokeweight="2pt">
                <w10:wrap anchory="page"/>
              </v:rect>
            </w:pict>
          </mc:Fallback>
        </mc:AlternateContent>
      </w:r>
      <w:r w:rsidR="00C058F2">
        <w:rPr>
          <w:color w:val="FFFFFF" w:themeColor="background1"/>
        </w:rPr>
        <w:t>Postpartum Hemorrhage</w:t>
      </w:r>
      <w:r w:rsidR="00394CD5">
        <w:rPr>
          <w:color w:val="FFFFFF" w:themeColor="background1"/>
        </w:rPr>
        <w:br/>
      </w:r>
    </w:p>
    <w:p w14:paraId="7CCB99C1" w14:textId="030DED07" w:rsidR="006E3431" w:rsidRPr="00FF4008" w:rsidRDefault="006E3431" w:rsidP="00FF4008">
      <w:pPr>
        <w:pStyle w:val="Heading2"/>
        <w:pBdr>
          <w:top w:val="single" w:sz="24" w:space="1" w:color="F3F3F3" w:themeColor="background2"/>
          <w:left w:val="single" w:sz="24" w:space="4" w:color="F3F3F3" w:themeColor="background2"/>
          <w:bottom w:val="single" w:sz="24" w:space="1" w:color="F3F3F3" w:themeColor="background2"/>
          <w:right w:val="single" w:sz="24" w:space="4" w:color="F3F3F3" w:themeColor="background2"/>
        </w:pBdr>
        <w:rPr>
          <w:color w:val="353435" w:themeColor="text1"/>
        </w:rPr>
      </w:pPr>
      <w:r w:rsidRPr="00FF4008">
        <w:rPr>
          <w:color w:val="353435" w:themeColor="text1"/>
        </w:rPr>
        <w:t>General</w:t>
      </w:r>
    </w:p>
    <w:p w14:paraId="53A95917" w14:textId="3646B5B1" w:rsidR="00693250" w:rsidRPr="00A62737" w:rsidRDefault="00693250" w:rsidP="003D49CF">
      <w:pPr>
        <w:pStyle w:val="ListBullet"/>
      </w:pPr>
      <w:r>
        <w:t xml:space="preserve">This guideline is </w:t>
      </w:r>
      <w:r w:rsidR="00332E05">
        <w:t>intended</w:t>
      </w:r>
      <w:r>
        <w:t xml:space="preserve"> to address </w:t>
      </w:r>
      <w:r w:rsidR="00332E05">
        <w:t xml:space="preserve">excessive bleeding after delivery and not </w:t>
      </w:r>
      <w:r w:rsidR="00B905EA">
        <w:t xml:space="preserve">vaginal bleeding secondary to trauma. </w:t>
      </w:r>
      <w:r>
        <w:t xml:space="preserve"> </w:t>
      </w:r>
    </w:p>
    <w:p w14:paraId="301A55A0" w14:textId="6A157152" w:rsidR="00B00076" w:rsidRDefault="00B00076" w:rsidP="003D49CF">
      <w:pPr>
        <w:pStyle w:val="ListBullet"/>
      </w:pPr>
      <w:r w:rsidRPr="00855791">
        <w:rPr>
          <w:b/>
          <w:bCs/>
        </w:rPr>
        <w:t>Immediate postpartum hemorrhage</w:t>
      </w:r>
      <w:r>
        <w:t xml:space="preserve"> </w:t>
      </w:r>
      <w:r w:rsidR="004C7C15" w:rsidRPr="004C7C15">
        <w:t xml:space="preserve">is significant ongoing bleeding </w:t>
      </w:r>
      <w:r w:rsidR="00447DE6">
        <w:t>after</w:t>
      </w:r>
      <w:r w:rsidR="00447DE6" w:rsidRPr="004C7C15">
        <w:t xml:space="preserve"> </w:t>
      </w:r>
      <w:r w:rsidR="004C7C15" w:rsidRPr="004C7C15">
        <w:t>delivery, defined as the loss of more than 1</w:t>
      </w:r>
      <w:r w:rsidR="00447DE6">
        <w:t>,</w:t>
      </w:r>
      <w:r w:rsidR="004C7C15" w:rsidRPr="004C7C15">
        <w:t xml:space="preserve">000 mL of blood up to 24 hours </w:t>
      </w:r>
      <w:r w:rsidR="00447DE6">
        <w:t>after</w:t>
      </w:r>
      <w:r w:rsidR="00447DE6" w:rsidRPr="004C7C15">
        <w:t xml:space="preserve"> </w:t>
      </w:r>
      <w:r w:rsidR="004C7C15" w:rsidRPr="004C7C15">
        <w:t xml:space="preserve">delivery. Steps that can be taken that may decrease the risk of postpartum hemorrhage during and immediately </w:t>
      </w:r>
      <w:r w:rsidR="005C501A">
        <w:t>after</w:t>
      </w:r>
      <w:r w:rsidR="005C501A" w:rsidRPr="004C7C15">
        <w:t xml:space="preserve"> </w:t>
      </w:r>
      <w:r w:rsidR="004C7C15" w:rsidRPr="004C7C15">
        <w:t>delivery include:</w:t>
      </w:r>
    </w:p>
    <w:p w14:paraId="7D53B4A9" w14:textId="6309E8A4" w:rsidR="00B00076" w:rsidRDefault="00B00076" w:rsidP="00B00076">
      <w:pPr>
        <w:pStyle w:val="ListBullet2"/>
      </w:pPr>
      <w:r>
        <w:t xml:space="preserve">Administration of </w:t>
      </w:r>
      <w:r w:rsidRPr="00855791">
        <w:rPr>
          <w:b/>
          <w:bCs/>
        </w:rPr>
        <w:t>oxytocin</w:t>
      </w:r>
      <w:r>
        <w:t xml:space="preserve"> as soon as possible after </w:t>
      </w:r>
      <w:r w:rsidR="00437944">
        <w:t xml:space="preserve">the delivery of the </w:t>
      </w:r>
      <w:r>
        <w:t>baby</w:t>
      </w:r>
    </w:p>
    <w:p w14:paraId="0F46B9EC" w14:textId="0E2EBDE3" w:rsidR="00B00076" w:rsidRDefault="00B00076" w:rsidP="00B00076">
      <w:pPr>
        <w:pStyle w:val="ListBullet2"/>
      </w:pPr>
      <w:r>
        <w:t xml:space="preserve">Controlled, gentle umbilical cord traction until </w:t>
      </w:r>
      <w:r w:rsidR="00437944">
        <w:t xml:space="preserve">the </w:t>
      </w:r>
      <w:r>
        <w:t>placenta delivers</w:t>
      </w:r>
    </w:p>
    <w:p w14:paraId="27575665" w14:textId="32376CEE" w:rsidR="00B00076" w:rsidRDefault="00B00076" w:rsidP="00B00076">
      <w:pPr>
        <w:pStyle w:val="ListBullet2"/>
      </w:pPr>
      <w:r>
        <w:t>Firm massage of the uterus after the placenta delivers</w:t>
      </w:r>
    </w:p>
    <w:p w14:paraId="5C9A3B5A" w14:textId="7DDD2B10" w:rsidR="00B00076" w:rsidRDefault="00B00076" w:rsidP="00B00076">
      <w:pPr>
        <w:pStyle w:val="ListBullet"/>
      </w:pPr>
      <w:r w:rsidRPr="00855791">
        <w:rPr>
          <w:b/>
          <w:bCs/>
        </w:rPr>
        <w:t>Delayed, or secondary, postpartum hemorrhage</w:t>
      </w:r>
      <w:r>
        <w:t xml:space="preserve"> is excessive bleeding from 24 hours after delivery up to </w:t>
      </w:r>
      <w:r w:rsidRPr="00754A96">
        <w:rPr>
          <w:i/>
          <w:iCs/>
          <w:sz w:val="26"/>
          <w:szCs w:val="26"/>
          <w:u w:val="single"/>
        </w:rPr>
        <w:t>12 weeks postpartum</w:t>
      </w:r>
      <w:r w:rsidRPr="00754A96">
        <w:rPr>
          <w:sz w:val="26"/>
          <w:szCs w:val="26"/>
        </w:rPr>
        <w:t>.</w:t>
      </w:r>
      <w:r>
        <w:t xml:space="preserve"> </w:t>
      </w:r>
      <w:r w:rsidR="007838E8">
        <w:t>The c</w:t>
      </w:r>
      <w:r>
        <w:t xml:space="preserve">auses of delayed hemorrhage may be different than the causes of immediate postpartum hemorrhage, but </w:t>
      </w:r>
      <w:r w:rsidR="00406C2A">
        <w:t xml:space="preserve">the </w:t>
      </w:r>
      <w:r>
        <w:t xml:space="preserve">initial management approaches are </w:t>
      </w:r>
      <w:r w:rsidR="00E32621">
        <w:t>similar</w:t>
      </w:r>
      <w:r w:rsidR="00321ED1">
        <w:t>:</w:t>
      </w:r>
    </w:p>
    <w:p w14:paraId="23E3E3A8" w14:textId="135ABA89" w:rsidR="00B00076" w:rsidRDefault="00B00076" w:rsidP="00B00076">
      <w:pPr>
        <w:pStyle w:val="ListBullet2"/>
      </w:pPr>
      <w:r>
        <w:t xml:space="preserve">Administration of </w:t>
      </w:r>
      <w:r w:rsidRPr="00855791">
        <w:rPr>
          <w:b/>
          <w:bCs/>
        </w:rPr>
        <w:t>oxytocin</w:t>
      </w:r>
      <w:r>
        <w:t xml:space="preserve"> as soon as possible</w:t>
      </w:r>
    </w:p>
    <w:p w14:paraId="78A17673" w14:textId="1AB2C59B" w:rsidR="00B00076" w:rsidRDefault="00B00076" w:rsidP="00B00076">
      <w:pPr>
        <w:pStyle w:val="ListBullet2"/>
      </w:pPr>
      <w:r>
        <w:t>Firm uterine massage</w:t>
      </w:r>
    </w:p>
    <w:p w14:paraId="654A127C" w14:textId="0F84FAFE" w:rsidR="00B00076" w:rsidRDefault="00B00076" w:rsidP="00B00076">
      <w:pPr>
        <w:pStyle w:val="ListBullet"/>
      </w:pPr>
      <w:r>
        <w:t xml:space="preserve">Patients with life-threatening hemorrhage may need </w:t>
      </w:r>
      <w:r w:rsidRPr="00855791">
        <w:rPr>
          <w:b/>
          <w:bCs/>
        </w:rPr>
        <w:t>tranexamic acid (TXA)</w:t>
      </w:r>
      <w:r>
        <w:t xml:space="preserve"> </w:t>
      </w:r>
      <w:r w:rsidR="00F87E73">
        <w:t>and</w:t>
      </w:r>
      <w:r>
        <w:t xml:space="preserve"> blood product administration</w:t>
      </w:r>
      <w:r w:rsidR="00406C2A">
        <w:t>,</w:t>
      </w:r>
      <w:r>
        <w:t xml:space="preserve"> when available.</w:t>
      </w:r>
      <w:r w:rsidR="00E32621">
        <w:t xml:space="preserve"> See TXA information below. TXA</w:t>
      </w:r>
      <w:r w:rsidR="00F87E73">
        <w:t xml:space="preserve"> or blood </w:t>
      </w:r>
      <w:r w:rsidR="00767D8A">
        <w:t xml:space="preserve">product </w:t>
      </w:r>
      <w:r w:rsidR="00E32621">
        <w:t xml:space="preserve">use may necessitate requesting an intercept from a field response team capable of providing these interventions. </w:t>
      </w:r>
    </w:p>
    <w:p w14:paraId="5E32CEFE" w14:textId="6B1C39CA" w:rsidR="00F077DE" w:rsidRPr="00F077DE" w:rsidRDefault="00F077DE" w:rsidP="00A62737">
      <w:pPr>
        <w:pStyle w:val="ListBullet"/>
      </w:pPr>
      <w:r w:rsidRPr="00F077DE">
        <w:t xml:space="preserve">Transport the patient to a hospital with obstetric services or the most appropriate local/regional facility if an obstetric facility is not readily available. Notify </w:t>
      </w:r>
      <w:r w:rsidR="005151C0">
        <w:t xml:space="preserve">the </w:t>
      </w:r>
      <w:r w:rsidRPr="00F077DE">
        <w:t xml:space="preserve">receiving facility as early as is feasible. </w:t>
      </w:r>
    </w:p>
    <w:p w14:paraId="5F7246D7" w14:textId="2AF7664F" w:rsidR="00A62737" w:rsidRDefault="00752F67" w:rsidP="62582ADF">
      <w:pPr>
        <w:pStyle w:val="Heading2"/>
        <w:pBdr>
          <w:top w:val="single" w:sz="18" w:space="1" w:color="EEEDF7"/>
          <w:left w:val="single" w:sz="18" w:space="4" w:color="EEEDF7"/>
          <w:bottom w:val="single" w:sz="18" w:space="1" w:color="EEEDF7"/>
          <w:right w:val="single" w:sz="18" w:space="4" w:color="EEEDF7"/>
        </w:pBdr>
        <w:shd w:val="clear" w:color="auto" w:fill="EEEDF7"/>
      </w:pPr>
      <w:r>
        <w:t>A</w:t>
      </w:r>
      <w:r w:rsidR="006E3431">
        <w:t xml:space="preserve">ll </w:t>
      </w:r>
      <w:r w:rsidR="00634CE3">
        <w:t xml:space="preserve">EMS </w:t>
      </w:r>
      <w:r w:rsidR="007513BC">
        <w:t>Clinicians</w:t>
      </w:r>
      <w:r w:rsidR="001570C8">
        <w:t xml:space="preserve"> </w:t>
      </w:r>
    </w:p>
    <w:p w14:paraId="0AA1FA92" w14:textId="77777777" w:rsidR="00855791" w:rsidRDefault="00855791" w:rsidP="00026A12">
      <w:pPr>
        <w:pStyle w:val="BodyText"/>
      </w:pPr>
      <w:r>
        <w:t xml:space="preserve">For immediate and delayed postpartum hemorrhage: </w:t>
      </w:r>
    </w:p>
    <w:p w14:paraId="63407B74" w14:textId="77777777" w:rsidR="00033FB5" w:rsidRDefault="00033FB5" w:rsidP="00855791">
      <w:pPr>
        <w:pStyle w:val="ListBullet"/>
      </w:pPr>
      <w:r>
        <w:t xml:space="preserve">Firmly massage the uterine fundus. </w:t>
      </w:r>
    </w:p>
    <w:p w14:paraId="031673C8" w14:textId="7C61268E" w:rsidR="00855791" w:rsidRDefault="00033FB5" w:rsidP="00855791">
      <w:pPr>
        <w:pStyle w:val="ListBullet"/>
      </w:pPr>
      <w:r>
        <w:t xml:space="preserve">If perineal (external vaginal area) lacerations are present (unlikely in delayed postpartum hemorrhage), apply direct pressure to </w:t>
      </w:r>
      <w:r w:rsidR="005C501A">
        <w:t xml:space="preserve">the </w:t>
      </w:r>
      <w:r>
        <w:t xml:space="preserve">perineum with sterile dressings. </w:t>
      </w:r>
      <w:r w:rsidRPr="00A62737">
        <w:rPr>
          <w:u w:val="single"/>
        </w:rPr>
        <w:t>Do not place dressings inside the vagina.</w:t>
      </w:r>
      <w:r>
        <w:t xml:space="preserve"> </w:t>
      </w:r>
    </w:p>
    <w:p w14:paraId="1B45B52B" w14:textId="63695C42" w:rsidR="00855791" w:rsidRDefault="00033FB5" w:rsidP="00033FB5">
      <w:pPr>
        <w:pStyle w:val="ListBullet"/>
      </w:pPr>
      <w:r>
        <w:t xml:space="preserve">Perform initial assessment </w:t>
      </w:r>
      <w:r w:rsidR="00693250">
        <w:t xml:space="preserve">and anticipate providing treatments for shock. </w:t>
      </w:r>
    </w:p>
    <w:p w14:paraId="471874DE" w14:textId="7D01A409" w:rsidR="00F077DE" w:rsidRDefault="00F077DE" w:rsidP="00F077DE">
      <w:pPr>
        <w:pStyle w:val="ListBullet"/>
      </w:pPr>
      <w:r w:rsidRPr="00F077DE">
        <w:t xml:space="preserve">Be prepared to manage the patient’s airway, provide supplemental </w:t>
      </w:r>
      <w:r w:rsidRPr="00A62737">
        <w:rPr>
          <w:b/>
          <w:bCs/>
        </w:rPr>
        <w:t>oxygen</w:t>
      </w:r>
      <w:r w:rsidRPr="00F077DE">
        <w:t xml:space="preserve"> for maternal oxygen saturation </w:t>
      </w:r>
      <w:r w:rsidR="005151C0">
        <w:rPr>
          <w:rFonts w:cs="Arial"/>
        </w:rPr>
        <w:t>≤</w:t>
      </w:r>
      <w:r w:rsidRPr="00F077DE">
        <w:t>94%, and assist with ventilation.</w:t>
      </w:r>
    </w:p>
    <w:p w14:paraId="1C22D1EE" w14:textId="36F99C1A" w:rsidR="00F077DE" w:rsidRDefault="00F077DE" w:rsidP="00F077DE">
      <w:pPr>
        <w:pStyle w:val="ListBullet"/>
      </w:pPr>
      <w:r>
        <w:t>Consider</w:t>
      </w:r>
      <w:r w:rsidR="00AD0327">
        <w:t xml:space="preserve"> fluid resuscitation with </w:t>
      </w:r>
      <w:r w:rsidR="00AD0327" w:rsidRPr="00A62737">
        <w:rPr>
          <w:b/>
          <w:bCs/>
        </w:rPr>
        <w:t>crystalloids</w:t>
      </w:r>
      <w:r>
        <w:t xml:space="preserve"> as indicated</w:t>
      </w:r>
      <w:r w:rsidR="00AD0327">
        <w:t xml:space="preserve">, </w:t>
      </w:r>
      <w:r w:rsidR="00080F81">
        <w:t xml:space="preserve">because </w:t>
      </w:r>
      <w:r w:rsidR="00AD0327">
        <w:t>clinical manifestation of significant blood loss may be delayed</w:t>
      </w:r>
      <w:r w:rsidR="00A37564">
        <w:t xml:space="preserve"> in postpartum hemorrhage.</w:t>
      </w:r>
    </w:p>
    <w:p w14:paraId="619A881D" w14:textId="3BF866C6" w:rsidR="004C7C15" w:rsidRPr="00A62737" w:rsidRDefault="00F077DE" w:rsidP="00A62737">
      <w:pPr>
        <w:pStyle w:val="ListBullet"/>
      </w:pPr>
      <w:r>
        <w:t xml:space="preserve">Consider intercepting with a field response team that carries blood products </w:t>
      </w:r>
      <w:r w:rsidR="00F87E73">
        <w:t>or</w:t>
      </w:r>
      <w:r>
        <w:t xml:space="preserve"> </w:t>
      </w:r>
      <w:r w:rsidRPr="002A7C5C">
        <w:rPr>
          <w:b/>
          <w:bCs/>
        </w:rPr>
        <w:t>TXA</w:t>
      </w:r>
      <w:r>
        <w:t xml:space="preserve">. </w:t>
      </w:r>
    </w:p>
    <w:p w14:paraId="14EEED7C" w14:textId="77777777" w:rsidR="0031180B" w:rsidRPr="0031180B" w:rsidRDefault="0031180B" w:rsidP="0031180B">
      <w:pPr>
        <w:keepNext/>
        <w:pBdr>
          <w:top w:val="single" w:sz="24" w:space="1" w:color="C8EEDC"/>
          <w:left w:val="single" w:sz="24" w:space="4" w:color="C8EEDC"/>
          <w:bottom w:val="single" w:sz="24" w:space="1" w:color="C8EEDC"/>
          <w:right w:val="single" w:sz="24" w:space="4" w:color="C8EEDC"/>
        </w:pBdr>
        <w:shd w:val="clear" w:color="auto" w:fill="C8EEDC"/>
        <w:spacing w:before="360" w:after="120" w:line="240" w:lineRule="auto"/>
        <w:contextualSpacing/>
        <w:outlineLvl w:val="1"/>
        <w:rPr>
          <w:rFonts w:eastAsia="Garamond"/>
          <w:color w:val="3F387C" w:themeColor="text2"/>
          <w:sz w:val="46"/>
          <w:szCs w:val="20"/>
        </w:rPr>
      </w:pPr>
      <w:bookmarkStart w:id="0" w:name="OLE_LINK2"/>
      <w:bookmarkStart w:id="1" w:name="OLE_LINK3"/>
      <w:bookmarkStart w:id="2" w:name="_Hlk169272535"/>
      <w:r w:rsidRPr="0031180B">
        <w:rPr>
          <w:rFonts w:eastAsia="Garamond"/>
          <w:color w:val="005443" w:themeColor="accent3" w:themeShade="80"/>
          <w:sz w:val="46"/>
          <w:szCs w:val="20"/>
        </w:rPr>
        <w:lastRenderedPageBreak/>
        <w:t>Advanced</w:t>
      </w:r>
      <w:bookmarkEnd w:id="0"/>
      <w:r w:rsidRPr="0031180B">
        <w:rPr>
          <w:rFonts w:eastAsia="Garamond"/>
          <w:color w:val="005443" w:themeColor="accent3" w:themeShade="80"/>
          <w:sz w:val="46"/>
          <w:szCs w:val="20"/>
        </w:rPr>
        <w:t xml:space="preserve"> EMS Clinicians</w:t>
      </w:r>
      <w:bookmarkEnd w:id="1"/>
      <w:r w:rsidRPr="0031180B">
        <w:rPr>
          <w:rFonts w:eastAsia="Garamond"/>
          <w:color w:val="3F387C" w:themeColor="text2"/>
          <w:sz w:val="46"/>
          <w:szCs w:val="20"/>
        </w:rPr>
        <w:t xml:space="preserve"> </w:t>
      </w:r>
    </w:p>
    <w:p w14:paraId="07BFC090" w14:textId="5212BCDE" w:rsidR="0031180B" w:rsidRPr="0031180B" w:rsidRDefault="0031180B" w:rsidP="0031180B">
      <w:pPr>
        <w:keepNext/>
        <w:pBdr>
          <w:top w:val="single" w:sz="24" w:space="1" w:color="C8EEDC"/>
          <w:left w:val="single" w:sz="24" w:space="4" w:color="C8EEDC"/>
          <w:bottom w:val="single" w:sz="24" w:space="1" w:color="C8EEDC"/>
          <w:right w:val="single" w:sz="24" w:space="4" w:color="C8EEDC"/>
        </w:pBdr>
        <w:shd w:val="clear" w:color="auto" w:fill="C8EEDC"/>
        <w:spacing w:before="360" w:after="120" w:line="240" w:lineRule="auto"/>
        <w:contextualSpacing/>
        <w:outlineLvl w:val="1"/>
        <w:rPr>
          <w:rFonts w:eastAsia="Garamond"/>
          <w:i/>
          <w:iCs/>
          <w:color w:val="005443" w:themeColor="accent3" w:themeShade="80"/>
          <w:sz w:val="24"/>
          <w:szCs w:val="24"/>
        </w:rPr>
      </w:pPr>
      <w:r w:rsidRPr="0031180B">
        <w:rPr>
          <w:rFonts w:eastAsia="Garamond"/>
          <w:i/>
          <w:iCs/>
          <w:color w:val="005443" w:themeColor="accent3" w:themeShade="80"/>
          <w:sz w:val="24"/>
          <w:szCs w:val="24"/>
        </w:rPr>
        <w:t xml:space="preserve">May include advanced EMTs, paramedics, and other </w:t>
      </w:r>
      <w:r w:rsidR="00080F81">
        <w:rPr>
          <w:rFonts w:eastAsia="Garamond"/>
          <w:i/>
          <w:iCs/>
          <w:color w:val="005443" w:themeColor="accent3" w:themeShade="80"/>
          <w:sz w:val="24"/>
          <w:szCs w:val="24"/>
        </w:rPr>
        <w:t>advanced-level</w:t>
      </w:r>
      <w:r w:rsidRPr="0031180B">
        <w:rPr>
          <w:rFonts w:eastAsia="Garamond"/>
          <w:i/>
          <w:iCs/>
          <w:color w:val="005443" w:themeColor="accent3" w:themeShade="80"/>
          <w:sz w:val="24"/>
          <w:szCs w:val="24"/>
        </w:rPr>
        <w:t xml:space="preserve"> clinicians with medication administration capabilities</w:t>
      </w:r>
    </w:p>
    <w:p w14:paraId="432FCBC3" w14:textId="4A46588C" w:rsidR="00855791" w:rsidRDefault="00855791" w:rsidP="00855791">
      <w:pPr>
        <w:pStyle w:val="ListBullet"/>
        <w:numPr>
          <w:ilvl w:val="0"/>
          <w:numId w:val="0"/>
        </w:numPr>
        <w:ind w:left="86"/>
      </w:pPr>
      <w:r>
        <w:t xml:space="preserve">For immediate </w:t>
      </w:r>
      <w:r w:rsidR="005135D1" w:rsidRPr="00C87B1E">
        <w:rPr>
          <w:u w:val="single"/>
        </w:rPr>
        <w:t>AND</w:t>
      </w:r>
      <w:r>
        <w:t xml:space="preserve"> delayed postpartum hemorrhage:</w:t>
      </w:r>
    </w:p>
    <w:p w14:paraId="1BA8CDEF" w14:textId="14A6297B" w:rsidR="00855791" w:rsidRDefault="00855791" w:rsidP="00855791">
      <w:pPr>
        <w:pStyle w:val="ListBullet"/>
      </w:pPr>
      <w:r>
        <w:t xml:space="preserve">Administer </w:t>
      </w:r>
      <w:r w:rsidRPr="00855791">
        <w:rPr>
          <w:b/>
          <w:bCs/>
        </w:rPr>
        <w:t>oxytocin</w:t>
      </w:r>
      <w:r>
        <w:t>:</w:t>
      </w:r>
    </w:p>
    <w:p w14:paraId="35F1185A" w14:textId="1F827617" w:rsidR="00855791" w:rsidRDefault="00855791" w:rsidP="00855791">
      <w:pPr>
        <w:pStyle w:val="ListBullet2"/>
      </w:pPr>
      <w:r>
        <w:t xml:space="preserve">Administer </w:t>
      </w:r>
      <w:r w:rsidRPr="00855791">
        <w:rPr>
          <w:b/>
          <w:bCs/>
        </w:rPr>
        <w:t xml:space="preserve">10 units </w:t>
      </w:r>
      <w:r w:rsidR="00A65CB3">
        <w:rPr>
          <w:b/>
          <w:bCs/>
        </w:rPr>
        <w:t xml:space="preserve">of </w:t>
      </w:r>
      <w:r w:rsidRPr="00855791">
        <w:rPr>
          <w:b/>
          <w:bCs/>
        </w:rPr>
        <w:t>oxytocin IM unless IV access</w:t>
      </w:r>
      <w:r w:rsidR="00A65CB3">
        <w:rPr>
          <w:b/>
          <w:bCs/>
        </w:rPr>
        <w:t xml:space="preserve"> is</w:t>
      </w:r>
      <w:r w:rsidRPr="00855791">
        <w:rPr>
          <w:b/>
          <w:bCs/>
        </w:rPr>
        <w:t xml:space="preserve"> immediately available</w:t>
      </w:r>
      <w:r>
        <w:t>.</w:t>
      </w:r>
    </w:p>
    <w:p w14:paraId="7D3FF5F4" w14:textId="15C67C68" w:rsidR="00855791" w:rsidRDefault="00855791" w:rsidP="00855791">
      <w:pPr>
        <w:pStyle w:val="ListBullet2"/>
      </w:pPr>
      <w:r>
        <w:t xml:space="preserve">Once IV access is established, add </w:t>
      </w:r>
      <w:r w:rsidRPr="00855791">
        <w:rPr>
          <w:b/>
          <w:bCs/>
        </w:rPr>
        <w:t>20 units</w:t>
      </w:r>
      <w:r w:rsidR="00A65CB3">
        <w:rPr>
          <w:b/>
          <w:bCs/>
        </w:rPr>
        <w:t xml:space="preserve"> of</w:t>
      </w:r>
      <w:r w:rsidRPr="00855791">
        <w:rPr>
          <w:b/>
          <w:bCs/>
        </w:rPr>
        <w:t xml:space="preserve"> oxytocin to 1 L </w:t>
      </w:r>
      <w:r w:rsidR="00A65CB3">
        <w:rPr>
          <w:b/>
          <w:bCs/>
        </w:rPr>
        <w:t xml:space="preserve">of </w:t>
      </w:r>
      <w:r w:rsidRPr="00855791">
        <w:rPr>
          <w:b/>
          <w:bCs/>
        </w:rPr>
        <w:t>normal saline</w:t>
      </w:r>
      <w:r>
        <w:t xml:space="preserve"> or </w:t>
      </w:r>
      <w:r w:rsidRPr="00855791">
        <w:rPr>
          <w:b/>
          <w:bCs/>
        </w:rPr>
        <w:t xml:space="preserve">lactated </w:t>
      </w:r>
      <w:r w:rsidR="00A65CB3">
        <w:rPr>
          <w:b/>
          <w:bCs/>
        </w:rPr>
        <w:t>R</w:t>
      </w:r>
      <w:r w:rsidRPr="00855791">
        <w:rPr>
          <w:b/>
          <w:bCs/>
        </w:rPr>
        <w:t>inger</w:t>
      </w:r>
      <w:r w:rsidR="00A65CB3">
        <w:rPr>
          <w:b/>
          <w:bCs/>
        </w:rPr>
        <w:t>’</w:t>
      </w:r>
      <w:r w:rsidRPr="00855791">
        <w:rPr>
          <w:b/>
          <w:bCs/>
        </w:rPr>
        <w:t>s</w:t>
      </w:r>
      <w:r w:rsidR="00A65CB3">
        <w:rPr>
          <w:b/>
          <w:bCs/>
        </w:rPr>
        <w:t xml:space="preserve"> solution</w:t>
      </w:r>
      <w:r w:rsidRPr="00855791">
        <w:rPr>
          <w:b/>
          <w:bCs/>
        </w:rPr>
        <w:t xml:space="preserve"> </w:t>
      </w:r>
      <w:r>
        <w:t xml:space="preserve">and administer as a wide-open infusion </w:t>
      </w:r>
      <w:r w:rsidR="00036732">
        <w:t xml:space="preserve">(a </w:t>
      </w:r>
      <w:r w:rsidR="00437944">
        <w:t>large-</w:t>
      </w:r>
      <w:r w:rsidR="00036732">
        <w:t xml:space="preserve">bore IV, macro drip tubing with no pressure device) </w:t>
      </w:r>
      <w:r>
        <w:t xml:space="preserve">until arriving at </w:t>
      </w:r>
      <w:r w:rsidR="00A65CB3">
        <w:t xml:space="preserve">the </w:t>
      </w:r>
      <w:r>
        <w:t>hospital or a significant decrease in bleeding is identified</w:t>
      </w:r>
      <w:r w:rsidR="007E10B1">
        <w:t>.</w:t>
      </w:r>
    </w:p>
    <w:p w14:paraId="5E3D8556" w14:textId="2C2B0843" w:rsidR="004C7C15" w:rsidRPr="009026AE" w:rsidRDefault="00191A50" w:rsidP="004C7C15">
      <w:pPr>
        <w:pStyle w:val="ListBullet"/>
      </w:pPr>
      <w:r>
        <w:t>I</w:t>
      </w:r>
      <w:r w:rsidRPr="00191A50">
        <w:t>f there is ongoing bleeding despite oxytocin administration, and the time to arrival at a hospital with obstetric capabilities is prolonged, then misoprostol is recommended as an additional therapy</w:t>
      </w:r>
      <w:r>
        <w:t>.</w:t>
      </w:r>
      <w:r w:rsidR="00B905EA">
        <w:t xml:space="preserve"> </w:t>
      </w:r>
      <w:r>
        <w:t>A</w:t>
      </w:r>
      <w:r w:rsidR="004C7C15" w:rsidRPr="009026AE">
        <w:t xml:space="preserve">dminister </w:t>
      </w:r>
      <w:r w:rsidR="004C7C15" w:rsidRPr="009026AE">
        <w:rPr>
          <w:b/>
          <w:bCs/>
        </w:rPr>
        <w:t>misoprostol</w:t>
      </w:r>
      <w:r w:rsidR="004C7C15" w:rsidRPr="009026AE">
        <w:t>, 600–1,000 micrograms orally, sublingually, or rectally</w:t>
      </w:r>
      <w:r w:rsidR="00033FB5">
        <w:t>.</w:t>
      </w:r>
      <w:r w:rsidR="00B905EA">
        <w:t xml:space="preserve"> </w:t>
      </w:r>
    </w:p>
    <w:p w14:paraId="3B27C3C6" w14:textId="77777777" w:rsidR="00D91169" w:rsidRDefault="00D84C64" w:rsidP="00D91169">
      <w:pPr>
        <w:pStyle w:val="ListBullet"/>
      </w:pPr>
      <w:r w:rsidRPr="00D84C64">
        <w:t>When available, blood product administration should be considered for patients with</w:t>
      </w:r>
      <w:r w:rsidR="004C004E">
        <w:t xml:space="preserve"> one or more of the following:</w:t>
      </w:r>
      <w:r w:rsidRPr="00D84C64">
        <w:t xml:space="preserve"> </w:t>
      </w:r>
    </w:p>
    <w:p w14:paraId="0E0CED2B" w14:textId="575388C0" w:rsidR="00D91169" w:rsidRDefault="00C5616D" w:rsidP="00057F1D">
      <w:pPr>
        <w:pStyle w:val="ListBullet2"/>
      </w:pPr>
      <w:r>
        <w:t>Estimated b</w:t>
      </w:r>
      <w:r w:rsidR="00D84C64" w:rsidRPr="00D84C64">
        <w:t>lood loss of 1</w:t>
      </w:r>
      <w:r w:rsidR="00A65CB3">
        <w:t>,</w:t>
      </w:r>
      <w:r w:rsidR="00D84C64" w:rsidRPr="00D84C64">
        <w:t>500</w:t>
      </w:r>
      <w:r w:rsidR="00A65CB3">
        <w:t xml:space="preserve"> </w:t>
      </w:r>
      <w:r w:rsidR="00D84C64" w:rsidRPr="00D84C64">
        <w:t xml:space="preserve">mL or more </w:t>
      </w:r>
    </w:p>
    <w:p w14:paraId="3C949FA6" w14:textId="3AB2057E" w:rsidR="00D91169" w:rsidRDefault="004C004E" w:rsidP="00057F1D">
      <w:pPr>
        <w:pStyle w:val="ListBullet2"/>
      </w:pPr>
      <w:r>
        <w:t>A</w:t>
      </w:r>
      <w:r w:rsidR="00D84C64" w:rsidRPr="00D84C64">
        <w:t>bnormal vital signs (tachycardia and hypotension) in accordance with local transfusion protocols</w:t>
      </w:r>
    </w:p>
    <w:p w14:paraId="02BA6659" w14:textId="5A898126" w:rsidR="004C004E" w:rsidRDefault="004C004E" w:rsidP="00057F1D">
      <w:pPr>
        <w:pStyle w:val="ListBullet2"/>
      </w:pPr>
      <w:r>
        <w:t>O</w:t>
      </w:r>
      <w:r w:rsidRPr="004C004E">
        <w:t>ngoing blood loss not controlled with the measures described throughout this guideline</w:t>
      </w:r>
    </w:p>
    <w:p w14:paraId="5D91467D" w14:textId="77777777" w:rsidR="00616F97" w:rsidRDefault="00616F97" w:rsidP="008A677C">
      <w:pPr>
        <w:pStyle w:val="ListBullet"/>
        <w:numPr>
          <w:ilvl w:val="0"/>
          <w:numId w:val="0"/>
        </w:numPr>
        <w:ind w:left="86"/>
      </w:pPr>
    </w:p>
    <w:p w14:paraId="7F25EBEA" w14:textId="335EF95D" w:rsidR="00D84C64" w:rsidRDefault="00D84C64" w:rsidP="00026A12">
      <w:pPr>
        <w:pStyle w:val="BodyText"/>
      </w:pPr>
      <w:r>
        <w:t xml:space="preserve">For immediate postpartum hemorrhage </w:t>
      </w:r>
      <w:r w:rsidRPr="008A677C">
        <w:rPr>
          <w:u w:val="single"/>
        </w:rPr>
        <w:t>ONLY</w:t>
      </w:r>
      <w:r>
        <w:t xml:space="preserve">: </w:t>
      </w:r>
    </w:p>
    <w:p w14:paraId="19CB99DD" w14:textId="120A9D7A" w:rsidR="00855791" w:rsidRDefault="00855791" w:rsidP="00855791">
      <w:pPr>
        <w:pStyle w:val="ListBullet"/>
      </w:pPr>
      <w:r>
        <w:t xml:space="preserve">If </w:t>
      </w:r>
      <w:r w:rsidR="00D27856">
        <w:t xml:space="preserve">immediate postpartum </w:t>
      </w:r>
      <w:r>
        <w:t xml:space="preserve">hemorrhage persists despite </w:t>
      </w:r>
      <w:r w:rsidR="00AD60F8">
        <w:t xml:space="preserve">the </w:t>
      </w:r>
      <w:r w:rsidR="004C004E">
        <w:t xml:space="preserve">use of available measures, </w:t>
      </w:r>
      <w:r>
        <w:t xml:space="preserve">administer </w:t>
      </w:r>
      <w:r w:rsidRPr="003520A5">
        <w:rPr>
          <w:b/>
          <w:bCs/>
        </w:rPr>
        <w:t>TXA</w:t>
      </w:r>
      <w:r>
        <w:t xml:space="preserve"> within 3 hours of birth.</w:t>
      </w:r>
    </w:p>
    <w:p w14:paraId="32DA6F74" w14:textId="5E391DCF" w:rsidR="00855791" w:rsidRDefault="00855791" w:rsidP="00855791">
      <w:pPr>
        <w:pStyle w:val="ListBullet2"/>
      </w:pPr>
      <w:r>
        <w:t xml:space="preserve">Initial dose: </w:t>
      </w:r>
      <w:r w:rsidR="00232523" w:rsidRPr="003520A5">
        <w:rPr>
          <w:b/>
          <w:bCs/>
        </w:rPr>
        <w:t xml:space="preserve">1 g </w:t>
      </w:r>
      <w:r w:rsidR="00232523">
        <w:rPr>
          <w:b/>
          <w:bCs/>
        </w:rPr>
        <w:t xml:space="preserve">of </w:t>
      </w:r>
      <w:r w:rsidRPr="003520A5">
        <w:rPr>
          <w:b/>
          <w:bCs/>
        </w:rPr>
        <w:t>TXA</w:t>
      </w:r>
      <w:r w:rsidR="00C46F70">
        <w:rPr>
          <w:b/>
          <w:bCs/>
        </w:rPr>
        <w:t xml:space="preserve"> </w:t>
      </w:r>
      <w:r w:rsidRPr="003520A5">
        <w:rPr>
          <w:b/>
          <w:bCs/>
        </w:rPr>
        <w:t>(100 mg/mL) IV</w:t>
      </w:r>
      <w:r>
        <w:t xml:space="preserve"> over 10</w:t>
      </w:r>
      <w:r w:rsidR="00F17763">
        <w:rPr>
          <w:rFonts w:cs="Arial"/>
        </w:rPr>
        <w:t>–</w:t>
      </w:r>
      <w:r>
        <w:t>20 minutes</w:t>
      </w:r>
      <w:r w:rsidR="00C46F70">
        <w:t>.</w:t>
      </w:r>
    </w:p>
    <w:p w14:paraId="00F28984" w14:textId="7A069EC3" w:rsidR="00855791" w:rsidRDefault="00855791" w:rsidP="00855791">
      <w:pPr>
        <w:pStyle w:val="ListBullet2"/>
      </w:pPr>
      <w:r>
        <w:t xml:space="preserve">If bleeding continues after 30 minutes, administer a second dose of </w:t>
      </w:r>
      <w:r w:rsidR="00232523" w:rsidRPr="003520A5">
        <w:rPr>
          <w:b/>
          <w:bCs/>
        </w:rPr>
        <w:t xml:space="preserve">1 g </w:t>
      </w:r>
      <w:r w:rsidR="00232523">
        <w:rPr>
          <w:b/>
          <w:bCs/>
        </w:rPr>
        <w:t xml:space="preserve">of </w:t>
      </w:r>
      <w:r w:rsidRPr="003520A5">
        <w:rPr>
          <w:b/>
          <w:bCs/>
        </w:rPr>
        <w:t>TXA (100 mg/mL)</w:t>
      </w:r>
      <w:r w:rsidR="00E63C37">
        <w:rPr>
          <w:b/>
          <w:bCs/>
        </w:rPr>
        <w:t xml:space="preserve"> IV</w:t>
      </w:r>
      <w:r w:rsidRPr="003520A5">
        <w:rPr>
          <w:b/>
          <w:bCs/>
        </w:rPr>
        <w:t xml:space="preserve"> </w:t>
      </w:r>
      <w:r>
        <w:t>over 10</w:t>
      </w:r>
      <w:r w:rsidR="00C46F70">
        <w:rPr>
          <w:rFonts w:cs="Arial"/>
        </w:rPr>
        <w:t>–</w:t>
      </w:r>
      <w:r>
        <w:t>20 minutes</w:t>
      </w:r>
      <w:r w:rsidR="00033FB5">
        <w:t>.</w:t>
      </w:r>
    </w:p>
    <w:p w14:paraId="4A06ECEE" w14:textId="0C0E72FD" w:rsidR="00855791" w:rsidRDefault="00855791" w:rsidP="00A62737">
      <w:pPr>
        <w:pStyle w:val="ListBullet2"/>
        <w:spacing w:after="120"/>
      </w:pPr>
      <w:r>
        <w:t xml:space="preserve">Notify </w:t>
      </w:r>
      <w:r w:rsidR="00C46F70">
        <w:t xml:space="preserve">the </w:t>
      </w:r>
      <w:r>
        <w:t xml:space="preserve">receiving facility of </w:t>
      </w:r>
      <w:r w:rsidRPr="003520A5">
        <w:rPr>
          <w:b/>
          <w:bCs/>
        </w:rPr>
        <w:t>TXA</w:t>
      </w:r>
      <w:r>
        <w:t xml:space="preserve"> administration time and amount administered</w:t>
      </w:r>
      <w:r w:rsidR="00033FB5">
        <w:t>.</w:t>
      </w:r>
      <w:bookmarkStart w:id="3" w:name="OLE_LINK24"/>
    </w:p>
    <w:bookmarkEnd w:id="2"/>
    <w:p w14:paraId="05CFC968" w14:textId="3748CA1F" w:rsidR="002A6360" w:rsidRDefault="00D2477D" w:rsidP="002A6360">
      <w:pPr>
        <w:pStyle w:val="ListContinue"/>
      </w:pPr>
      <w:r w:rsidRPr="00AA574D">
        <w:rPr>
          <w:i/>
          <w:iCs/>
        </w:rPr>
        <w:t>Note</w:t>
      </w:r>
      <w:r>
        <w:t xml:space="preserve">: </w:t>
      </w:r>
      <w:r w:rsidR="002A6360">
        <w:t xml:space="preserve">Evidence-based recommendations for this patient population </w:t>
      </w:r>
      <w:r w:rsidR="00BF4F74">
        <w:t>are</w:t>
      </w:r>
      <w:r w:rsidR="002A6360">
        <w:t xml:space="preserve"> for </w:t>
      </w:r>
      <w:r w:rsidR="00BF4F74">
        <w:t xml:space="preserve">two separate </w:t>
      </w:r>
      <w:r w:rsidR="002A6360">
        <w:t>1</w:t>
      </w:r>
      <w:r w:rsidR="00C46F70">
        <w:t>-</w:t>
      </w:r>
      <w:r w:rsidR="002A6360">
        <w:t>g</w:t>
      </w:r>
      <w:r w:rsidR="00BF4F74">
        <w:t xml:space="preserve"> dos</w:t>
      </w:r>
      <w:r w:rsidR="002D328E">
        <w:t>e</w:t>
      </w:r>
      <w:r w:rsidR="00BF4F74">
        <w:t>s of TXA rather than for a single 2</w:t>
      </w:r>
      <w:r w:rsidR="00C46F70">
        <w:t>-</w:t>
      </w:r>
      <w:r w:rsidR="00BF4F74">
        <w:t>g bolus</w:t>
      </w:r>
      <w:r w:rsidR="00593697">
        <w:t>,</w:t>
      </w:r>
      <w:r w:rsidR="00BF4F74">
        <w:t xml:space="preserve"> as might be used in other clinical sit</w:t>
      </w:r>
      <w:r w:rsidR="00DD523F">
        <w:t>u</w:t>
      </w:r>
      <w:r w:rsidR="00BF4F74">
        <w:t>ations</w:t>
      </w:r>
      <w:bookmarkEnd w:id="3"/>
      <w:r w:rsidR="002A6360" w:rsidRPr="00965DBE">
        <w:t>.</w:t>
      </w:r>
    </w:p>
    <w:p w14:paraId="2BF46F2F" w14:textId="77777777" w:rsidR="000E1636" w:rsidRPr="000E1636" w:rsidRDefault="000E1636" w:rsidP="000E1636">
      <w:pPr>
        <w:pBdr>
          <w:bottom w:val="single" w:sz="4" w:space="1" w:color="auto"/>
        </w:pBdr>
        <w:spacing w:after="360" w:line="276" w:lineRule="auto"/>
        <w:rPr>
          <w:rFonts w:ascii="Times New Roman" w:eastAsia="Garamond" w:hAnsi="Times New Roman"/>
          <w:sz w:val="24"/>
          <w:szCs w:val="24"/>
        </w:rPr>
      </w:pPr>
    </w:p>
    <w:p w14:paraId="37D8D89B" w14:textId="612BE05B" w:rsidR="000E1636" w:rsidRPr="000E1636" w:rsidRDefault="000E1636" w:rsidP="00C41E0E">
      <w:pPr>
        <w:keepNext/>
        <w:pBdr>
          <w:top w:val="single" w:sz="18" w:space="1" w:color="FFFFFF" w:themeColor="background1"/>
          <w:left w:val="single" w:sz="18" w:space="4" w:color="FFFFFF" w:themeColor="background1"/>
          <w:bottom w:val="single" w:sz="18" w:space="1" w:color="FFFFFF" w:themeColor="background1"/>
          <w:right w:val="single" w:sz="18" w:space="4" w:color="FFFFFF" w:themeColor="background1"/>
        </w:pBdr>
        <w:shd w:val="clear" w:color="auto" w:fill="FFFFFF" w:themeFill="background1"/>
        <w:spacing w:before="320" w:after="120" w:line="240" w:lineRule="auto"/>
        <w:outlineLvl w:val="1"/>
        <w:rPr>
          <w:rFonts w:eastAsia="Times New Roman"/>
          <w:color w:val="262626" w:themeColor="accent1" w:themeShade="BF"/>
          <w:sz w:val="46"/>
          <w:szCs w:val="46"/>
        </w:rPr>
      </w:pPr>
      <w:bookmarkStart w:id="4" w:name="OLE_LINK23"/>
      <w:r w:rsidRPr="003CE455">
        <w:rPr>
          <w:rFonts w:eastAsia="Times New Roman"/>
          <w:color w:val="262626" w:themeColor="accent1" w:themeShade="BF"/>
          <w:sz w:val="46"/>
          <w:szCs w:val="46"/>
        </w:rPr>
        <w:t>References</w:t>
      </w:r>
      <w:bookmarkEnd w:id="4"/>
    </w:p>
    <w:p w14:paraId="274816E6" w14:textId="77777777" w:rsidR="001C1314" w:rsidRDefault="009A2CD2" w:rsidP="002F7CF1">
      <w:pPr>
        <w:spacing w:after="120"/>
        <w:rPr>
          <w:rFonts w:eastAsia="Garamond"/>
          <w:szCs w:val="20"/>
        </w:rPr>
      </w:pPr>
      <w:r w:rsidRPr="009A2CD2">
        <w:rPr>
          <w:rFonts w:eastAsia="Garamond"/>
          <w:szCs w:val="20"/>
        </w:rPr>
        <w:t xml:space="preserve">Postpartum hemorrhage. Practice Bulletin No. 183. American College of Obstetricians and Gynecologists. </w:t>
      </w:r>
      <w:proofErr w:type="spellStart"/>
      <w:r w:rsidRPr="009A2CD2">
        <w:rPr>
          <w:rFonts w:eastAsia="Garamond"/>
          <w:szCs w:val="20"/>
        </w:rPr>
        <w:t>Obstet</w:t>
      </w:r>
      <w:proofErr w:type="spellEnd"/>
      <w:r w:rsidRPr="009A2CD2">
        <w:rPr>
          <w:rFonts w:eastAsia="Garamond"/>
          <w:szCs w:val="20"/>
        </w:rPr>
        <w:t xml:space="preserve"> </w:t>
      </w:r>
      <w:proofErr w:type="spellStart"/>
      <w:r w:rsidRPr="009A2CD2">
        <w:rPr>
          <w:rFonts w:eastAsia="Garamond"/>
          <w:szCs w:val="20"/>
        </w:rPr>
        <w:t>Gynecol</w:t>
      </w:r>
      <w:proofErr w:type="spellEnd"/>
      <w:r w:rsidRPr="009A2CD2">
        <w:rPr>
          <w:rFonts w:eastAsia="Garamond"/>
          <w:szCs w:val="20"/>
        </w:rPr>
        <w:t xml:space="preserve"> 2017;130:e168–86.</w:t>
      </w:r>
    </w:p>
    <w:p w14:paraId="327938AF" w14:textId="01C47EF4" w:rsidR="009A2CD2" w:rsidRPr="001C1314" w:rsidRDefault="009A2CD2" w:rsidP="002F7CF1">
      <w:pPr>
        <w:spacing w:after="240"/>
        <w:rPr>
          <w:rFonts w:eastAsia="Garamond"/>
          <w:szCs w:val="20"/>
        </w:rPr>
      </w:pPr>
      <w:r w:rsidRPr="009A2CD2">
        <w:rPr>
          <w:rFonts w:eastAsia="Garamond"/>
        </w:rPr>
        <w:t xml:space="preserve">Vogel JP, Oladapo OT, </w:t>
      </w:r>
      <w:proofErr w:type="spellStart"/>
      <w:r w:rsidRPr="009A2CD2">
        <w:rPr>
          <w:rFonts w:eastAsia="Garamond"/>
        </w:rPr>
        <w:t>Dowswell</w:t>
      </w:r>
      <w:proofErr w:type="spellEnd"/>
      <w:r w:rsidRPr="009A2CD2">
        <w:rPr>
          <w:rFonts w:eastAsia="Garamond"/>
        </w:rPr>
        <w:t xml:space="preserve"> T, </w:t>
      </w:r>
      <w:proofErr w:type="spellStart"/>
      <w:r w:rsidRPr="009A2CD2">
        <w:rPr>
          <w:rFonts w:eastAsia="Garamond"/>
        </w:rPr>
        <w:t>Gülmezoglu</w:t>
      </w:r>
      <w:proofErr w:type="spellEnd"/>
      <w:r w:rsidRPr="009A2CD2">
        <w:rPr>
          <w:rFonts w:eastAsia="Garamond"/>
        </w:rPr>
        <w:t xml:space="preserve"> AM. Updated WHO recommendation on intravenous tranexamic acid for the treatment of post-partum </w:t>
      </w:r>
      <w:proofErr w:type="spellStart"/>
      <w:r w:rsidRPr="009A2CD2">
        <w:rPr>
          <w:rFonts w:eastAsia="Garamond"/>
        </w:rPr>
        <w:t>haemorrhage</w:t>
      </w:r>
      <w:proofErr w:type="spellEnd"/>
      <w:r w:rsidRPr="009A2CD2">
        <w:rPr>
          <w:rFonts w:eastAsia="Garamond"/>
        </w:rPr>
        <w:t xml:space="preserve">. </w:t>
      </w:r>
      <w:r w:rsidRPr="009A2CD2">
        <w:rPr>
          <w:rFonts w:eastAsia="Garamond"/>
          <w:lang w:val="es-419"/>
        </w:rPr>
        <w:t xml:space="preserve">The Lancet 2018;6:E18-E19. </w:t>
      </w:r>
      <w:proofErr w:type="spellStart"/>
      <w:r w:rsidRPr="009A2CD2">
        <w:rPr>
          <w:rFonts w:eastAsia="Garamond"/>
          <w:lang w:val="es-419"/>
        </w:rPr>
        <w:t>doi</w:t>
      </w:r>
      <w:proofErr w:type="spellEnd"/>
      <w:r w:rsidRPr="009A2CD2">
        <w:rPr>
          <w:rFonts w:eastAsia="Garamond"/>
          <w:lang w:val="es-419"/>
        </w:rPr>
        <w:t xml:space="preserve">: </w:t>
      </w:r>
      <w:hyperlink r:id="rId12" w:history="1">
        <w:r w:rsidRPr="009A2CD2">
          <w:rPr>
            <w:rFonts w:eastAsia="Garamond" w:cs="Arial"/>
            <w:color w:val="353435" w:themeColor="text1"/>
            <w:u w:val="single"/>
            <w:lang w:val="es-419"/>
          </w:rPr>
          <w:t>https://doi.org/10.1016/S2214-109X(17)30428-X</w:t>
        </w:r>
      </w:hyperlink>
    </w:p>
    <w:sectPr w:rsidR="009A2CD2" w:rsidRPr="001C1314" w:rsidSect="0039207F">
      <w:headerReference w:type="default" r:id="rId13"/>
      <w:footerReference w:type="default" r:id="rId14"/>
      <w:footerReference w:type="first" r:id="rId15"/>
      <w:pgSz w:w="12240" w:h="15840" w:code="1"/>
      <w:pgMar w:top="720" w:right="1152" w:bottom="1008" w:left="1152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A4E3" w14:textId="77777777" w:rsidR="005A55A4" w:rsidRDefault="005A55A4" w:rsidP="002B497E">
      <w:r>
        <w:separator/>
      </w:r>
    </w:p>
  </w:endnote>
  <w:endnote w:type="continuationSeparator" w:id="0">
    <w:p w14:paraId="675CA456" w14:textId="77777777" w:rsidR="005A55A4" w:rsidRDefault="005A55A4" w:rsidP="002B497E">
      <w:r>
        <w:continuationSeparator/>
      </w:r>
    </w:p>
  </w:endnote>
  <w:endnote w:type="continuationNotice" w:id="1">
    <w:p w14:paraId="30566CA3" w14:textId="77777777" w:rsidR="005A55A4" w:rsidRDefault="005A55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Garamond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8EA" w14:textId="6A135F7F" w:rsidR="00B251F4" w:rsidRPr="003520A5" w:rsidRDefault="003520A5" w:rsidP="003520A5">
    <w:pPr>
      <w:pStyle w:val="Footer"/>
    </w:pPr>
    <w:r>
      <w:rPr>
        <w:b w:val="0"/>
        <w:bCs w:val="0"/>
        <w:color w:val="3F387C" w:themeColor="text2"/>
      </w:rPr>
      <w:t xml:space="preserve">Postpartum Hemorrhage   </w:t>
    </w:r>
    <w:r>
      <w:rPr>
        <w:b w:val="0"/>
        <w:bCs w:val="0"/>
        <w:color w:val="797979" w:themeColor="background2" w:themeShade="80"/>
      </w:rPr>
      <w:t xml:space="preserve">| </w:t>
    </w:r>
    <w:r>
      <w:rPr>
        <w:color w:val="3F387C" w:themeColor="text2"/>
      </w:rPr>
      <w:t xml:space="preserve"> </w:t>
    </w:r>
    <w:sdt>
      <w:sdtPr>
        <w:id w:val="38530247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079B" w14:textId="170CD47C" w:rsidR="00B324AE" w:rsidRPr="00B324AE" w:rsidRDefault="002D694C" w:rsidP="00B324AE">
    <w:pPr>
      <w:pStyle w:val="Footer"/>
    </w:pPr>
    <w:bookmarkStart w:id="5" w:name="OLE_LINK4"/>
    <w:bookmarkStart w:id="6" w:name="OLE_LINK5"/>
    <w:bookmarkStart w:id="7" w:name="_Hlk141264781"/>
    <w:bookmarkStart w:id="8" w:name="OLE_LINK8"/>
    <w:bookmarkStart w:id="9" w:name="OLE_LINK9"/>
    <w:bookmarkStart w:id="10" w:name="_Hlk144967108"/>
    <w:r w:rsidRPr="002D694C">
      <w:rPr>
        <w:b w:val="0"/>
        <w:bCs w:val="0"/>
        <w:color w:val="3F387C" w:themeColor="text2"/>
      </w:rPr>
      <w:t>Postpartum Hemorrhage</w:t>
    </w:r>
    <w:r w:rsidR="00B324AE">
      <w:rPr>
        <w:b w:val="0"/>
        <w:bCs w:val="0"/>
        <w:color w:val="3F387C" w:themeColor="text2"/>
      </w:rPr>
      <w:t xml:space="preserve">  </w:t>
    </w:r>
    <w:r w:rsidR="00B324AE" w:rsidRPr="00B324AE">
      <w:rPr>
        <w:b w:val="0"/>
        <w:bCs w:val="0"/>
        <w:color w:val="3F387C" w:themeColor="text2"/>
      </w:rPr>
      <w:t xml:space="preserve"> </w:t>
    </w:r>
    <w:r w:rsidR="00B324AE" w:rsidRPr="00B324AE">
      <w:rPr>
        <w:b w:val="0"/>
        <w:bCs w:val="0"/>
        <w:color w:val="797979" w:themeColor="background2" w:themeShade="80"/>
      </w:rPr>
      <w:t>|</w:t>
    </w:r>
    <w:r w:rsidR="00B324AE">
      <w:rPr>
        <w:b w:val="0"/>
        <w:bCs w:val="0"/>
        <w:color w:val="797979" w:themeColor="background2" w:themeShade="80"/>
      </w:rPr>
      <w:t xml:space="preserve"> </w:t>
    </w:r>
    <w:r w:rsidR="00B324AE" w:rsidRPr="00B324AE">
      <w:rPr>
        <w:color w:val="3F387C" w:themeColor="text2"/>
      </w:rPr>
      <w:t xml:space="preserve"> </w:t>
    </w:r>
    <w:sdt>
      <w:sdtPr>
        <w:id w:val="779678171"/>
        <w:docPartObj>
          <w:docPartGallery w:val="Page Numbers (Bottom of Page)"/>
          <w:docPartUnique/>
        </w:docPartObj>
      </w:sdtPr>
      <w:sdtEndPr/>
      <w:sdtContent>
        <w:r w:rsidR="00B324AE" w:rsidRPr="00B324AE">
          <w:fldChar w:fldCharType="begin"/>
        </w:r>
        <w:r w:rsidR="00B324AE" w:rsidRPr="00B324AE">
          <w:instrText xml:space="preserve"> PAGE   \* MERGEFORMAT </w:instrText>
        </w:r>
        <w:r w:rsidR="00B324AE" w:rsidRPr="00B324AE">
          <w:fldChar w:fldCharType="separate"/>
        </w:r>
        <w:r w:rsidR="00B324AE" w:rsidRPr="00B324AE">
          <w:t>2</w:t>
        </w:r>
        <w:r w:rsidR="00B324AE" w:rsidRPr="00B324AE">
          <w:fldChar w:fldCharType="end"/>
        </w:r>
      </w:sdtContent>
    </w:sdt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75D8" w14:textId="77777777" w:rsidR="005A55A4" w:rsidRDefault="005A55A4" w:rsidP="002B497E">
      <w:r>
        <w:separator/>
      </w:r>
    </w:p>
  </w:footnote>
  <w:footnote w:type="continuationSeparator" w:id="0">
    <w:p w14:paraId="750B8447" w14:textId="77777777" w:rsidR="005A55A4" w:rsidRDefault="005A55A4" w:rsidP="002B497E">
      <w:r>
        <w:continuationSeparator/>
      </w:r>
    </w:p>
  </w:footnote>
  <w:footnote w:type="continuationNotice" w:id="1">
    <w:p w14:paraId="5854598E" w14:textId="77777777" w:rsidR="005A55A4" w:rsidRDefault="005A55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D3C6" w14:textId="77777777" w:rsidR="00CA6BAE" w:rsidRDefault="00CA6BAE">
    <w:pPr>
      <w:pStyle w:val="Header"/>
    </w:pPr>
  </w:p>
  <w:p w14:paraId="32A4AF6F" w14:textId="77777777" w:rsidR="00CA6BAE" w:rsidRDefault="00CA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5668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3AE8D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F"/>
    <w:multiLevelType w:val="singleLevel"/>
    <w:tmpl w:val="7368F9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362CBF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9A64178"/>
    <w:lvl w:ilvl="0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000000"/>
        <w:spacing w:val="0"/>
        <w:w w:val="100"/>
        <w:kern w:val="0"/>
        <w:position w:val="2"/>
        <w:sz w:val="16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</w:abstractNum>
  <w:abstractNum w:abstractNumId="5" w15:restartNumberingAfterBreak="0">
    <w:nsid w:val="FFFFFF83"/>
    <w:multiLevelType w:val="singleLevel"/>
    <w:tmpl w:val="AB94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E146D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73121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7305FD7"/>
    <w:multiLevelType w:val="hybridMultilevel"/>
    <w:tmpl w:val="7070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70CB3"/>
    <w:multiLevelType w:val="hybridMultilevel"/>
    <w:tmpl w:val="B34011C6"/>
    <w:lvl w:ilvl="0" w:tplc="36E8B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A084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64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A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8B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CE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2E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0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F29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BA6D55"/>
    <w:multiLevelType w:val="hybridMultilevel"/>
    <w:tmpl w:val="B6B23BC8"/>
    <w:lvl w:ilvl="0" w:tplc="FBC433E2">
      <w:start w:val="1"/>
      <w:numFmt w:val="bullet"/>
      <w:pStyle w:val="ListBullet2"/>
      <w:lvlText w:val=""/>
      <w:lvlJc w:val="left"/>
      <w:pPr>
        <w:ind w:left="540" w:hanging="360"/>
      </w:pPr>
      <w:rPr>
        <w:rFonts w:ascii="Symbol" w:hAnsi="Symbol" w:hint="default"/>
        <w:b w:val="0"/>
        <w:i w:val="0"/>
        <w:color w:val="auto"/>
        <w:position w:val="2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F5658A8"/>
    <w:multiLevelType w:val="hybridMultilevel"/>
    <w:tmpl w:val="83C800F8"/>
    <w:lvl w:ilvl="0" w:tplc="77CE9412">
      <w:numFmt w:val="bullet"/>
      <w:lvlText w:val="–"/>
      <w:lvlJc w:val="left"/>
      <w:pPr>
        <w:ind w:left="1080" w:hanging="360"/>
      </w:pPr>
      <w:rPr>
        <w:rFonts w:ascii="Roboto Lt" w:hAnsi="Roboto Lt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AF6169"/>
    <w:multiLevelType w:val="hybridMultilevel"/>
    <w:tmpl w:val="02722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B04D0"/>
    <w:multiLevelType w:val="hybridMultilevel"/>
    <w:tmpl w:val="5B56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135C"/>
    <w:multiLevelType w:val="hybridMultilevel"/>
    <w:tmpl w:val="6714E0EA"/>
    <w:lvl w:ilvl="0" w:tplc="18A495AA">
      <w:start w:val="1"/>
      <w:numFmt w:val="bullet"/>
      <w:pStyle w:val="NORCTableBullet2"/>
      <w:lvlText w:val=""/>
      <w:lvlJc w:val="left"/>
      <w:pPr>
        <w:ind w:left="543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000000"/>
        <w:spacing w:val="0"/>
        <w:w w:val="100"/>
        <w:kern w:val="0"/>
        <w:position w:val="2"/>
        <w:sz w:val="16"/>
        <w:szCs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4DD8178C"/>
    <w:multiLevelType w:val="hybridMultilevel"/>
    <w:tmpl w:val="1194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54327"/>
    <w:multiLevelType w:val="hybridMultilevel"/>
    <w:tmpl w:val="04F0C5DA"/>
    <w:lvl w:ilvl="0" w:tplc="EBB64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8EE0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04EB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A0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A0F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0E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21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E2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07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DB3F4A"/>
    <w:multiLevelType w:val="hybridMultilevel"/>
    <w:tmpl w:val="50DA3FD2"/>
    <w:lvl w:ilvl="0" w:tplc="D4E03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BAE35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79E91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36EB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F9E6E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2018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0304D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E34E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71EF6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58132377"/>
    <w:multiLevelType w:val="hybridMultilevel"/>
    <w:tmpl w:val="11A2F80E"/>
    <w:lvl w:ilvl="0" w:tplc="EDF691D8">
      <w:start w:val="1"/>
      <w:numFmt w:val="bullet"/>
      <w:pStyle w:val="NORCTableBullet1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2"/>
        <w:sz w:val="14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6E4D5793"/>
    <w:multiLevelType w:val="hybridMultilevel"/>
    <w:tmpl w:val="B23A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447197">
    <w:abstractNumId w:val="14"/>
  </w:num>
  <w:num w:numId="2" w16cid:durableId="875655757">
    <w:abstractNumId w:val="18"/>
  </w:num>
  <w:num w:numId="3" w16cid:durableId="1366981963">
    <w:abstractNumId w:val="6"/>
  </w:num>
  <w:num w:numId="4" w16cid:durableId="800656528">
    <w:abstractNumId w:val="2"/>
  </w:num>
  <w:num w:numId="5" w16cid:durableId="1211726399">
    <w:abstractNumId w:val="7"/>
  </w:num>
  <w:num w:numId="6" w16cid:durableId="1683437936">
    <w:abstractNumId w:val="4"/>
  </w:num>
  <w:num w:numId="7" w16cid:durableId="1902018049">
    <w:abstractNumId w:val="3"/>
  </w:num>
  <w:num w:numId="8" w16cid:durableId="560748065">
    <w:abstractNumId w:val="1"/>
  </w:num>
  <w:num w:numId="9" w16cid:durableId="1135562137">
    <w:abstractNumId w:val="0"/>
  </w:num>
  <w:num w:numId="10" w16cid:durableId="93785763">
    <w:abstractNumId w:val="10"/>
  </w:num>
  <w:num w:numId="11" w16cid:durableId="952638166">
    <w:abstractNumId w:val="15"/>
  </w:num>
  <w:num w:numId="12" w16cid:durableId="413627805">
    <w:abstractNumId w:val="13"/>
  </w:num>
  <w:num w:numId="13" w16cid:durableId="1614483299">
    <w:abstractNumId w:val="19"/>
  </w:num>
  <w:num w:numId="14" w16cid:durableId="28187860">
    <w:abstractNumId w:val="8"/>
  </w:num>
  <w:num w:numId="15" w16cid:durableId="1144659762">
    <w:abstractNumId w:val="12"/>
  </w:num>
  <w:num w:numId="16" w16cid:durableId="190341484">
    <w:abstractNumId w:val="7"/>
  </w:num>
  <w:num w:numId="17" w16cid:durableId="452402574">
    <w:abstractNumId w:val="8"/>
  </w:num>
  <w:num w:numId="18" w16cid:durableId="1318070705">
    <w:abstractNumId w:val="7"/>
  </w:num>
  <w:num w:numId="19" w16cid:durableId="494539005">
    <w:abstractNumId w:val="5"/>
  </w:num>
  <w:num w:numId="20" w16cid:durableId="806241722">
    <w:abstractNumId w:val="16"/>
  </w:num>
  <w:num w:numId="21" w16cid:durableId="1227911507">
    <w:abstractNumId w:val="9"/>
  </w:num>
  <w:num w:numId="22" w16cid:durableId="442648704">
    <w:abstractNumId w:val="11"/>
  </w:num>
  <w:num w:numId="23" w16cid:durableId="1630085670">
    <w:abstractNumId w:val="17"/>
  </w:num>
  <w:num w:numId="24" w16cid:durableId="207850614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8B"/>
    <w:rsid w:val="00001FAF"/>
    <w:rsid w:val="00002357"/>
    <w:rsid w:val="000051CB"/>
    <w:rsid w:val="00011105"/>
    <w:rsid w:val="00026A12"/>
    <w:rsid w:val="00027D87"/>
    <w:rsid w:val="000308CD"/>
    <w:rsid w:val="00031AD9"/>
    <w:rsid w:val="00031DEF"/>
    <w:rsid w:val="00032613"/>
    <w:rsid w:val="00033664"/>
    <w:rsid w:val="00033FB5"/>
    <w:rsid w:val="000361E3"/>
    <w:rsid w:val="00036732"/>
    <w:rsid w:val="0004172A"/>
    <w:rsid w:val="0005785F"/>
    <w:rsid w:val="00057F1D"/>
    <w:rsid w:val="00061EF9"/>
    <w:rsid w:val="00063930"/>
    <w:rsid w:val="00065610"/>
    <w:rsid w:val="00070564"/>
    <w:rsid w:val="00070867"/>
    <w:rsid w:val="00073C15"/>
    <w:rsid w:val="00080F81"/>
    <w:rsid w:val="000905BE"/>
    <w:rsid w:val="00091C20"/>
    <w:rsid w:val="000938F6"/>
    <w:rsid w:val="000A0806"/>
    <w:rsid w:val="000A4E04"/>
    <w:rsid w:val="000A7055"/>
    <w:rsid w:val="000A78D7"/>
    <w:rsid w:val="000B08AA"/>
    <w:rsid w:val="000B1746"/>
    <w:rsid w:val="000B4195"/>
    <w:rsid w:val="000B5B20"/>
    <w:rsid w:val="000C07A0"/>
    <w:rsid w:val="000C6AF5"/>
    <w:rsid w:val="000C6BFC"/>
    <w:rsid w:val="000C6D87"/>
    <w:rsid w:val="000D24BB"/>
    <w:rsid w:val="000E07A0"/>
    <w:rsid w:val="000E1636"/>
    <w:rsid w:val="000E1D07"/>
    <w:rsid w:val="000F13C2"/>
    <w:rsid w:val="000F3F2B"/>
    <w:rsid w:val="001072C1"/>
    <w:rsid w:val="001149C8"/>
    <w:rsid w:val="00115E9E"/>
    <w:rsid w:val="00116836"/>
    <w:rsid w:val="001210F5"/>
    <w:rsid w:val="001227AA"/>
    <w:rsid w:val="00123E52"/>
    <w:rsid w:val="00125094"/>
    <w:rsid w:val="00130D0F"/>
    <w:rsid w:val="00132139"/>
    <w:rsid w:val="0013332E"/>
    <w:rsid w:val="00134AE0"/>
    <w:rsid w:val="001362D9"/>
    <w:rsid w:val="00146B77"/>
    <w:rsid w:val="0015230C"/>
    <w:rsid w:val="00152F84"/>
    <w:rsid w:val="00155D17"/>
    <w:rsid w:val="001570C8"/>
    <w:rsid w:val="001610D4"/>
    <w:rsid w:val="0016226D"/>
    <w:rsid w:val="001633BB"/>
    <w:rsid w:val="001643F6"/>
    <w:rsid w:val="00165F56"/>
    <w:rsid w:val="00172B3D"/>
    <w:rsid w:val="001756B5"/>
    <w:rsid w:val="00175A77"/>
    <w:rsid w:val="00181107"/>
    <w:rsid w:val="00183E0B"/>
    <w:rsid w:val="00191A50"/>
    <w:rsid w:val="00191BB4"/>
    <w:rsid w:val="001944DB"/>
    <w:rsid w:val="00195DDC"/>
    <w:rsid w:val="001A15B1"/>
    <w:rsid w:val="001A4CCA"/>
    <w:rsid w:val="001A53DC"/>
    <w:rsid w:val="001A560C"/>
    <w:rsid w:val="001B11B8"/>
    <w:rsid w:val="001B3447"/>
    <w:rsid w:val="001B55BA"/>
    <w:rsid w:val="001C028C"/>
    <w:rsid w:val="001C0E5A"/>
    <w:rsid w:val="001C1314"/>
    <w:rsid w:val="001C71E2"/>
    <w:rsid w:val="001C73F0"/>
    <w:rsid w:val="001D1D5E"/>
    <w:rsid w:val="001D5AD1"/>
    <w:rsid w:val="001E1FBC"/>
    <w:rsid w:val="001E4CA8"/>
    <w:rsid w:val="001E711D"/>
    <w:rsid w:val="001E7C53"/>
    <w:rsid w:val="001F531A"/>
    <w:rsid w:val="001F67E9"/>
    <w:rsid w:val="002122C4"/>
    <w:rsid w:val="0021701B"/>
    <w:rsid w:val="002229B9"/>
    <w:rsid w:val="00223B7A"/>
    <w:rsid w:val="0023064E"/>
    <w:rsid w:val="00232523"/>
    <w:rsid w:val="00233527"/>
    <w:rsid w:val="00236764"/>
    <w:rsid w:val="002410FD"/>
    <w:rsid w:val="00242D2B"/>
    <w:rsid w:val="00246A08"/>
    <w:rsid w:val="00250099"/>
    <w:rsid w:val="00260E16"/>
    <w:rsid w:val="002726EB"/>
    <w:rsid w:val="00275B72"/>
    <w:rsid w:val="00281953"/>
    <w:rsid w:val="00286CDD"/>
    <w:rsid w:val="002920E6"/>
    <w:rsid w:val="002964AE"/>
    <w:rsid w:val="002A6360"/>
    <w:rsid w:val="002A714B"/>
    <w:rsid w:val="002A7C5C"/>
    <w:rsid w:val="002B287B"/>
    <w:rsid w:val="002B497E"/>
    <w:rsid w:val="002B4C89"/>
    <w:rsid w:val="002B5C57"/>
    <w:rsid w:val="002B6820"/>
    <w:rsid w:val="002B7398"/>
    <w:rsid w:val="002C065B"/>
    <w:rsid w:val="002C0723"/>
    <w:rsid w:val="002C22A7"/>
    <w:rsid w:val="002C24CC"/>
    <w:rsid w:val="002C45D8"/>
    <w:rsid w:val="002C57DD"/>
    <w:rsid w:val="002D1053"/>
    <w:rsid w:val="002D2A55"/>
    <w:rsid w:val="002D328E"/>
    <w:rsid w:val="002D6401"/>
    <w:rsid w:val="002D694C"/>
    <w:rsid w:val="002D729D"/>
    <w:rsid w:val="002E0C48"/>
    <w:rsid w:val="002E33C8"/>
    <w:rsid w:val="002E578B"/>
    <w:rsid w:val="002E6C72"/>
    <w:rsid w:val="002F07FA"/>
    <w:rsid w:val="002F2DA2"/>
    <w:rsid w:val="002F334A"/>
    <w:rsid w:val="002F7CF1"/>
    <w:rsid w:val="0030244E"/>
    <w:rsid w:val="00302CE8"/>
    <w:rsid w:val="0030625B"/>
    <w:rsid w:val="00306F05"/>
    <w:rsid w:val="0031180B"/>
    <w:rsid w:val="0031183A"/>
    <w:rsid w:val="0032082B"/>
    <w:rsid w:val="00321ED1"/>
    <w:rsid w:val="00332609"/>
    <w:rsid w:val="00332D4C"/>
    <w:rsid w:val="00332E05"/>
    <w:rsid w:val="003345C7"/>
    <w:rsid w:val="00337EDA"/>
    <w:rsid w:val="00345309"/>
    <w:rsid w:val="00345CFF"/>
    <w:rsid w:val="00346A32"/>
    <w:rsid w:val="00350D24"/>
    <w:rsid w:val="00350D94"/>
    <w:rsid w:val="003520A5"/>
    <w:rsid w:val="003525E8"/>
    <w:rsid w:val="00353467"/>
    <w:rsid w:val="00361948"/>
    <w:rsid w:val="00363685"/>
    <w:rsid w:val="00367B01"/>
    <w:rsid w:val="0037223E"/>
    <w:rsid w:val="003746C2"/>
    <w:rsid w:val="00383DC0"/>
    <w:rsid w:val="0039169F"/>
    <w:rsid w:val="0039207F"/>
    <w:rsid w:val="00394CD5"/>
    <w:rsid w:val="00396DA6"/>
    <w:rsid w:val="003A0D52"/>
    <w:rsid w:val="003A1718"/>
    <w:rsid w:val="003A2E7B"/>
    <w:rsid w:val="003B008E"/>
    <w:rsid w:val="003B29E5"/>
    <w:rsid w:val="003B608C"/>
    <w:rsid w:val="003C0D53"/>
    <w:rsid w:val="003C2A9A"/>
    <w:rsid w:val="003C462D"/>
    <w:rsid w:val="003C6DF2"/>
    <w:rsid w:val="003C79C9"/>
    <w:rsid w:val="003CE455"/>
    <w:rsid w:val="003D0894"/>
    <w:rsid w:val="003D49CF"/>
    <w:rsid w:val="003D6145"/>
    <w:rsid w:val="003E0964"/>
    <w:rsid w:val="003E29E0"/>
    <w:rsid w:val="003E42B1"/>
    <w:rsid w:val="003F0E25"/>
    <w:rsid w:val="003F4FB8"/>
    <w:rsid w:val="003F6904"/>
    <w:rsid w:val="0040365B"/>
    <w:rsid w:val="00406C2A"/>
    <w:rsid w:val="00415186"/>
    <w:rsid w:val="00421B1A"/>
    <w:rsid w:val="00422D33"/>
    <w:rsid w:val="0042351D"/>
    <w:rsid w:val="004247D8"/>
    <w:rsid w:val="00430397"/>
    <w:rsid w:val="004307A9"/>
    <w:rsid w:val="00437944"/>
    <w:rsid w:val="004401DD"/>
    <w:rsid w:val="004407B2"/>
    <w:rsid w:val="00440D98"/>
    <w:rsid w:val="00441313"/>
    <w:rsid w:val="004415C1"/>
    <w:rsid w:val="00447DE6"/>
    <w:rsid w:val="004521F4"/>
    <w:rsid w:val="00455A5F"/>
    <w:rsid w:val="00455C3E"/>
    <w:rsid w:val="004566F1"/>
    <w:rsid w:val="004577B3"/>
    <w:rsid w:val="004647E3"/>
    <w:rsid w:val="00464E7D"/>
    <w:rsid w:val="004754BE"/>
    <w:rsid w:val="004777AA"/>
    <w:rsid w:val="004777E0"/>
    <w:rsid w:val="00485D63"/>
    <w:rsid w:val="00490BA4"/>
    <w:rsid w:val="004940D5"/>
    <w:rsid w:val="004948A5"/>
    <w:rsid w:val="004A09A2"/>
    <w:rsid w:val="004A4A13"/>
    <w:rsid w:val="004A6977"/>
    <w:rsid w:val="004B1A82"/>
    <w:rsid w:val="004B35D5"/>
    <w:rsid w:val="004B4D4F"/>
    <w:rsid w:val="004C004E"/>
    <w:rsid w:val="004C268D"/>
    <w:rsid w:val="004C3318"/>
    <w:rsid w:val="004C35AF"/>
    <w:rsid w:val="004C4338"/>
    <w:rsid w:val="004C5FD6"/>
    <w:rsid w:val="004C7C15"/>
    <w:rsid w:val="004D1623"/>
    <w:rsid w:val="004D46A2"/>
    <w:rsid w:val="004E403F"/>
    <w:rsid w:val="004F6ADB"/>
    <w:rsid w:val="005000E9"/>
    <w:rsid w:val="0050024C"/>
    <w:rsid w:val="00502566"/>
    <w:rsid w:val="00503E09"/>
    <w:rsid w:val="00505647"/>
    <w:rsid w:val="005135D1"/>
    <w:rsid w:val="005146E9"/>
    <w:rsid w:val="005151C0"/>
    <w:rsid w:val="00522C7A"/>
    <w:rsid w:val="0052640C"/>
    <w:rsid w:val="0053031A"/>
    <w:rsid w:val="0053191A"/>
    <w:rsid w:val="00542579"/>
    <w:rsid w:val="005425A8"/>
    <w:rsid w:val="00546060"/>
    <w:rsid w:val="00550AE7"/>
    <w:rsid w:val="0056154F"/>
    <w:rsid w:val="00563D80"/>
    <w:rsid w:val="005661F8"/>
    <w:rsid w:val="005708C0"/>
    <w:rsid w:val="00593697"/>
    <w:rsid w:val="005975C1"/>
    <w:rsid w:val="005A4BC1"/>
    <w:rsid w:val="005A55A4"/>
    <w:rsid w:val="005B1B53"/>
    <w:rsid w:val="005B28F1"/>
    <w:rsid w:val="005C1A31"/>
    <w:rsid w:val="005C26B2"/>
    <w:rsid w:val="005C2CEB"/>
    <w:rsid w:val="005C501A"/>
    <w:rsid w:val="005E2AFB"/>
    <w:rsid w:val="005E469D"/>
    <w:rsid w:val="005E549B"/>
    <w:rsid w:val="005F008A"/>
    <w:rsid w:val="00601D61"/>
    <w:rsid w:val="00607A4E"/>
    <w:rsid w:val="0061059A"/>
    <w:rsid w:val="00615023"/>
    <w:rsid w:val="00616F97"/>
    <w:rsid w:val="00624E1B"/>
    <w:rsid w:val="00631662"/>
    <w:rsid w:val="00634CE3"/>
    <w:rsid w:val="00640500"/>
    <w:rsid w:val="00641FBB"/>
    <w:rsid w:val="00646539"/>
    <w:rsid w:val="00652FB5"/>
    <w:rsid w:val="0065530D"/>
    <w:rsid w:val="00662A1B"/>
    <w:rsid w:val="0067708E"/>
    <w:rsid w:val="006835CC"/>
    <w:rsid w:val="006836C3"/>
    <w:rsid w:val="00691E50"/>
    <w:rsid w:val="00693250"/>
    <w:rsid w:val="0069557E"/>
    <w:rsid w:val="0069570C"/>
    <w:rsid w:val="0069683B"/>
    <w:rsid w:val="00697CF6"/>
    <w:rsid w:val="006A0E8E"/>
    <w:rsid w:val="006A6AEF"/>
    <w:rsid w:val="006B0024"/>
    <w:rsid w:val="006B3A1D"/>
    <w:rsid w:val="006B4A9B"/>
    <w:rsid w:val="006B63AB"/>
    <w:rsid w:val="006B728F"/>
    <w:rsid w:val="006C050B"/>
    <w:rsid w:val="006C1CE0"/>
    <w:rsid w:val="006C3440"/>
    <w:rsid w:val="006C767E"/>
    <w:rsid w:val="006C798E"/>
    <w:rsid w:val="006D01CF"/>
    <w:rsid w:val="006D2C4D"/>
    <w:rsid w:val="006D6046"/>
    <w:rsid w:val="006D6E72"/>
    <w:rsid w:val="006D724D"/>
    <w:rsid w:val="006E3431"/>
    <w:rsid w:val="006E3E4E"/>
    <w:rsid w:val="006F0A59"/>
    <w:rsid w:val="006F169C"/>
    <w:rsid w:val="006F34A3"/>
    <w:rsid w:val="006F36C9"/>
    <w:rsid w:val="0070025E"/>
    <w:rsid w:val="00701439"/>
    <w:rsid w:val="0070296C"/>
    <w:rsid w:val="00702A16"/>
    <w:rsid w:val="00712106"/>
    <w:rsid w:val="00715978"/>
    <w:rsid w:val="00724CB1"/>
    <w:rsid w:val="00724D5E"/>
    <w:rsid w:val="0073046E"/>
    <w:rsid w:val="00732AD7"/>
    <w:rsid w:val="0073470D"/>
    <w:rsid w:val="00735D58"/>
    <w:rsid w:val="0074009E"/>
    <w:rsid w:val="0074011D"/>
    <w:rsid w:val="007401B1"/>
    <w:rsid w:val="00740B99"/>
    <w:rsid w:val="00747A9C"/>
    <w:rsid w:val="00750340"/>
    <w:rsid w:val="007513BC"/>
    <w:rsid w:val="00752F67"/>
    <w:rsid w:val="00754A7C"/>
    <w:rsid w:val="00754A96"/>
    <w:rsid w:val="00761371"/>
    <w:rsid w:val="0076423E"/>
    <w:rsid w:val="00766669"/>
    <w:rsid w:val="00767D8A"/>
    <w:rsid w:val="00770114"/>
    <w:rsid w:val="00771077"/>
    <w:rsid w:val="0077172F"/>
    <w:rsid w:val="0077568F"/>
    <w:rsid w:val="007818EA"/>
    <w:rsid w:val="0078255D"/>
    <w:rsid w:val="007838E8"/>
    <w:rsid w:val="00790500"/>
    <w:rsid w:val="00791D0A"/>
    <w:rsid w:val="007963C3"/>
    <w:rsid w:val="007972E6"/>
    <w:rsid w:val="007A1502"/>
    <w:rsid w:val="007A4401"/>
    <w:rsid w:val="007A664F"/>
    <w:rsid w:val="007B0069"/>
    <w:rsid w:val="007B0E0A"/>
    <w:rsid w:val="007B224B"/>
    <w:rsid w:val="007C27F3"/>
    <w:rsid w:val="007C3507"/>
    <w:rsid w:val="007C3CB0"/>
    <w:rsid w:val="007C3D54"/>
    <w:rsid w:val="007C627B"/>
    <w:rsid w:val="007C6AC0"/>
    <w:rsid w:val="007D2D6B"/>
    <w:rsid w:val="007E10B1"/>
    <w:rsid w:val="007E1E6D"/>
    <w:rsid w:val="007E3DAB"/>
    <w:rsid w:val="007E4C6D"/>
    <w:rsid w:val="007E7773"/>
    <w:rsid w:val="007F0D2B"/>
    <w:rsid w:val="007F43C7"/>
    <w:rsid w:val="007F46FF"/>
    <w:rsid w:val="007F7E25"/>
    <w:rsid w:val="008036A1"/>
    <w:rsid w:val="0080633C"/>
    <w:rsid w:val="008066A9"/>
    <w:rsid w:val="00806D09"/>
    <w:rsid w:val="00810818"/>
    <w:rsid w:val="00814931"/>
    <w:rsid w:val="00815ED0"/>
    <w:rsid w:val="00816CCF"/>
    <w:rsid w:val="00820E4A"/>
    <w:rsid w:val="008213B7"/>
    <w:rsid w:val="008243C5"/>
    <w:rsid w:val="0083541E"/>
    <w:rsid w:val="0083775C"/>
    <w:rsid w:val="00842411"/>
    <w:rsid w:val="0084327E"/>
    <w:rsid w:val="0084537C"/>
    <w:rsid w:val="008465FA"/>
    <w:rsid w:val="00855791"/>
    <w:rsid w:val="00855DC0"/>
    <w:rsid w:val="00857B6A"/>
    <w:rsid w:val="008613A3"/>
    <w:rsid w:val="00861C07"/>
    <w:rsid w:val="008659F7"/>
    <w:rsid w:val="0086626E"/>
    <w:rsid w:val="00871AC6"/>
    <w:rsid w:val="00884358"/>
    <w:rsid w:val="00891F9A"/>
    <w:rsid w:val="008A66E8"/>
    <w:rsid w:val="008A677C"/>
    <w:rsid w:val="008A768B"/>
    <w:rsid w:val="008B1550"/>
    <w:rsid w:val="008B4B07"/>
    <w:rsid w:val="008B4D03"/>
    <w:rsid w:val="008B62CA"/>
    <w:rsid w:val="008B78F1"/>
    <w:rsid w:val="008C226D"/>
    <w:rsid w:val="008C308C"/>
    <w:rsid w:val="008C680F"/>
    <w:rsid w:val="008C6FAD"/>
    <w:rsid w:val="008E040D"/>
    <w:rsid w:val="008E237E"/>
    <w:rsid w:val="008E4509"/>
    <w:rsid w:val="008F4504"/>
    <w:rsid w:val="009008B8"/>
    <w:rsid w:val="009026AE"/>
    <w:rsid w:val="0090485F"/>
    <w:rsid w:val="00904BFC"/>
    <w:rsid w:val="00907B9A"/>
    <w:rsid w:val="00910943"/>
    <w:rsid w:val="0092024A"/>
    <w:rsid w:val="00920C49"/>
    <w:rsid w:val="009241B5"/>
    <w:rsid w:val="0092543A"/>
    <w:rsid w:val="00930D67"/>
    <w:rsid w:val="00932DDF"/>
    <w:rsid w:val="0093458F"/>
    <w:rsid w:val="00936FD2"/>
    <w:rsid w:val="00941312"/>
    <w:rsid w:val="00943072"/>
    <w:rsid w:val="00944A66"/>
    <w:rsid w:val="00950D48"/>
    <w:rsid w:val="009518C9"/>
    <w:rsid w:val="00951F95"/>
    <w:rsid w:val="00953B95"/>
    <w:rsid w:val="00953D48"/>
    <w:rsid w:val="00965B48"/>
    <w:rsid w:val="00965DBE"/>
    <w:rsid w:val="00975FB3"/>
    <w:rsid w:val="00976533"/>
    <w:rsid w:val="00976851"/>
    <w:rsid w:val="00977211"/>
    <w:rsid w:val="009776D9"/>
    <w:rsid w:val="00981EAA"/>
    <w:rsid w:val="009833EF"/>
    <w:rsid w:val="009A2CD2"/>
    <w:rsid w:val="009A2E8B"/>
    <w:rsid w:val="009B29AC"/>
    <w:rsid w:val="009B3679"/>
    <w:rsid w:val="009C0C6E"/>
    <w:rsid w:val="009C1A58"/>
    <w:rsid w:val="009C3CBB"/>
    <w:rsid w:val="009D1584"/>
    <w:rsid w:val="009D6493"/>
    <w:rsid w:val="009D75CB"/>
    <w:rsid w:val="009E2E8E"/>
    <w:rsid w:val="009E379E"/>
    <w:rsid w:val="009E6C24"/>
    <w:rsid w:val="009F3444"/>
    <w:rsid w:val="00A02466"/>
    <w:rsid w:val="00A028B4"/>
    <w:rsid w:val="00A0357A"/>
    <w:rsid w:val="00A0661A"/>
    <w:rsid w:val="00A13BBE"/>
    <w:rsid w:val="00A1510D"/>
    <w:rsid w:val="00A16F56"/>
    <w:rsid w:val="00A170DC"/>
    <w:rsid w:val="00A21030"/>
    <w:rsid w:val="00A218B2"/>
    <w:rsid w:val="00A31258"/>
    <w:rsid w:val="00A37564"/>
    <w:rsid w:val="00A40FD5"/>
    <w:rsid w:val="00A41971"/>
    <w:rsid w:val="00A475A8"/>
    <w:rsid w:val="00A52AD0"/>
    <w:rsid w:val="00A55EF2"/>
    <w:rsid w:val="00A56C38"/>
    <w:rsid w:val="00A57CAA"/>
    <w:rsid w:val="00A60D41"/>
    <w:rsid w:val="00A61B0C"/>
    <w:rsid w:val="00A62737"/>
    <w:rsid w:val="00A65CB3"/>
    <w:rsid w:val="00A67DF7"/>
    <w:rsid w:val="00A7669D"/>
    <w:rsid w:val="00A804F3"/>
    <w:rsid w:val="00A83668"/>
    <w:rsid w:val="00A8481D"/>
    <w:rsid w:val="00A84D3F"/>
    <w:rsid w:val="00A8595A"/>
    <w:rsid w:val="00A87555"/>
    <w:rsid w:val="00A90751"/>
    <w:rsid w:val="00A96A6B"/>
    <w:rsid w:val="00AA0EF9"/>
    <w:rsid w:val="00AA16AF"/>
    <w:rsid w:val="00AA36B8"/>
    <w:rsid w:val="00AA574D"/>
    <w:rsid w:val="00AA635F"/>
    <w:rsid w:val="00AB2885"/>
    <w:rsid w:val="00AB55EC"/>
    <w:rsid w:val="00AC4E0F"/>
    <w:rsid w:val="00AC770F"/>
    <w:rsid w:val="00AD0327"/>
    <w:rsid w:val="00AD60F8"/>
    <w:rsid w:val="00AD6885"/>
    <w:rsid w:val="00AE0104"/>
    <w:rsid w:val="00AE0B6A"/>
    <w:rsid w:val="00AE216E"/>
    <w:rsid w:val="00AF0CFB"/>
    <w:rsid w:val="00AF10CC"/>
    <w:rsid w:val="00AF1139"/>
    <w:rsid w:val="00AF31AB"/>
    <w:rsid w:val="00AF3867"/>
    <w:rsid w:val="00AF3AEA"/>
    <w:rsid w:val="00AF4F3C"/>
    <w:rsid w:val="00AF6F67"/>
    <w:rsid w:val="00B00076"/>
    <w:rsid w:val="00B005E5"/>
    <w:rsid w:val="00B03CFA"/>
    <w:rsid w:val="00B05CAC"/>
    <w:rsid w:val="00B07790"/>
    <w:rsid w:val="00B109B0"/>
    <w:rsid w:val="00B145D5"/>
    <w:rsid w:val="00B14808"/>
    <w:rsid w:val="00B251F4"/>
    <w:rsid w:val="00B324AE"/>
    <w:rsid w:val="00B3319F"/>
    <w:rsid w:val="00B3707C"/>
    <w:rsid w:val="00B379F8"/>
    <w:rsid w:val="00B40E50"/>
    <w:rsid w:val="00B44C7B"/>
    <w:rsid w:val="00B456C6"/>
    <w:rsid w:val="00B45DF1"/>
    <w:rsid w:val="00B47AE0"/>
    <w:rsid w:val="00B5025D"/>
    <w:rsid w:val="00B53EC3"/>
    <w:rsid w:val="00B54024"/>
    <w:rsid w:val="00B61890"/>
    <w:rsid w:val="00B660E2"/>
    <w:rsid w:val="00B66240"/>
    <w:rsid w:val="00B905EA"/>
    <w:rsid w:val="00B94F99"/>
    <w:rsid w:val="00B96A4B"/>
    <w:rsid w:val="00BA05B1"/>
    <w:rsid w:val="00BA5A9E"/>
    <w:rsid w:val="00BB2F92"/>
    <w:rsid w:val="00BB43F3"/>
    <w:rsid w:val="00BB48E9"/>
    <w:rsid w:val="00BB798C"/>
    <w:rsid w:val="00BD16E4"/>
    <w:rsid w:val="00BD1775"/>
    <w:rsid w:val="00BD202F"/>
    <w:rsid w:val="00BE278F"/>
    <w:rsid w:val="00BE66F2"/>
    <w:rsid w:val="00BF11F6"/>
    <w:rsid w:val="00BF3BE6"/>
    <w:rsid w:val="00BF3D0F"/>
    <w:rsid w:val="00BF4F74"/>
    <w:rsid w:val="00C04E02"/>
    <w:rsid w:val="00C058F2"/>
    <w:rsid w:val="00C0606E"/>
    <w:rsid w:val="00C1300D"/>
    <w:rsid w:val="00C141F5"/>
    <w:rsid w:val="00C148ED"/>
    <w:rsid w:val="00C21D4E"/>
    <w:rsid w:val="00C2511C"/>
    <w:rsid w:val="00C2773F"/>
    <w:rsid w:val="00C34CBD"/>
    <w:rsid w:val="00C40706"/>
    <w:rsid w:val="00C41E0E"/>
    <w:rsid w:val="00C4518E"/>
    <w:rsid w:val="00C46F70"/>
    <w:rsid w:val="00C5616D"/>
    <w:rsid w:val="00C601DF"/>
    <w:rsid w:val="00C62463"/>
    <w:rsid w:val="00C624BB"/>
    <w:rsid w:val="00C66128"/>
    <w:rsid w:val="00C66747"/>
    <w:rsid w:val="00C67A1C"/>
    <w:rsid w:val="00C67F2F"/>
    <w:rsid w:val="00C71651"/>
    <w:rsid w:val="00C748B8"/>
    <w:rsid w:val="00C817B9"/>
    <w:rsid w:val="00C84164"/>
    <w:rsid w:val="00C8569D"/>
    <w:rsid w:val="00C86515"/>
    <w:rsid w:val="00C8656E"/>
    <w:rsid w:val="00C8743C"/>
    <w:rsid w:val="00C87B1E"/>
    <w:rsid w:val="00C929DA"/>
    <w:rsid w:val="00CA1B1C"/>
    <w:rsid w:val="00CA6BAE"/>
    <w:rsid w:val="00CA6C55"/>
    <w:rsid w:val="00CC07A9"/>
    <w:rsid w:val="00CC2251"/>
    <w:rsid w:val="00CC3493"/>
    <w:rsid w:val="00CC78CF"/>
    <w:rsid w:val="00CE4B05"/>
    <w:rsid w:val="00CF54BE"/>
    <w:rsid w:val="00CF77B6"/>
    <w:rsid w:val="00D06CC5"/>
    <w:rsid w:val="00D113FC"/>
    <w:rsid w:val="00D15D2D"/>
    <w:rsid w:val="00D20820"/>
    <w:rsid w:val="00D20985"/>
    <w:rsid w:val="00D244D6"/>
    <w:rsid w:val="00D2477D"/>
    <w:rsid w:val="00D25A49"/>
    <w:rsid w:val="00D26AAE"/>
    <w:rsid w:val="00D27856"/>
    <w:rsid w:val="00D30552"/>
    <w:rsid w:val="00D315FE"/>
    <w:rsid w:val="00D31AE6"/>
    <w:rsid w:val="00D32487"/>
    <w:rsid w:val="00D35583"/>
    <w:rsid w:val="00D41653"/>
    <w:rsid w:val="00D41DC3"/>
    <w:rsid w:val="00D52B9B"/>
    <w:rsid w:val="00D63C63"/>
    <w:rsid w:val="00D67AF8"/>
    <w:rsid w:val="00D70CF1"/>
    <w:rsid w:val="00D74243"/>
    <w:rsid w:val="00D775C4"/>
    <w:rsid w:val="00D82EB9"/>
    <w:rsid w:val="00D84B01"/>
    <w:rsid w:val="00D84C64"/>
    <w:rsid w:val="00D86F8F"/>
    <w:rsid w:val="00D90D0E"/>
    <w:rsid w:val="00D90ED7"/>
    <w:rsid w:val="00D91169"/>
    <w:rsid w:val="00D958E4"/>
    <w:rsid w:val="00D959A8"/>
    <w:rsid w:val="00D97DDD"/>
    <w:rsid w:val="00DA0C3D"/>
    <w:rsid w:val="00DA45AB"/>
    <w:rsid w:val="00DB0636"/>
    <w:rsid w:val="00DB1CF2"/>
    <w:rsid w:val="00DB22EF"/>
    <w:rsid w:val="00DB2F57"/>
    <w:rsid w:val="00DB37A0"/>
    <w:rsid w:val="00DC56B3"/>
    <w:rsid w:val="00DC7370"/>
    <w:rsid w:val="00DC784E"/>
    <w:rsid w:val="00DD0C40"/>
    <w:rsid w:val="00DD322A"/>
    <w:rsid w:val="00DD4106"/>
    <w:rsid w:val="00DD4145"/>
    <w:rsid w:val="00DD41E0"/>
    <w:rsid w:val="00DD4DB7"/>
    <w:rsid w:val="00DD523F"/>
    <w:rsid w:val="00DD5F2E"/>
    <w:rsid w:val="00DD6964"/>
    <w:rsid w:val="00DE1536"/>
    <w:rsid w:val="00DE7594"/>
    <w:rsid w:val="00DE7B67"/>
    <w:rsid w:val="00DF3165"/>
    <w:rsid w:val="00DF3BC6"/>
    <w:rsid w:val="00E0498D"/>
    <w:rsid w:val="00E04A54"/>
    <w:rsid w:val="00E13688"/>
    <w:rsid w:val="00E32621"/>
    <w:rsid w:val="00E376E0"/>
    <w:rsid w:val="00E43AF6"/>
    <w:rsid w:val="00E43F20"/>
    <w:rsid w:val="00E47220"/>
    <w:rsid w:val="00E4742B"/>
    <w:rsid w:val="00E50379"/>
    <w:rsid w:val="00E51612"/>
    <w:rsid w:val="00E52BE8"/>
    <w:rsid w:val="00E56AA9"/>
    <w:rsid w:val="00E61E3B"/>
    <w:rsid w:val="00E6295C"/>
    <w:rsid w:val="00E639F2"/>
    <w:rsid w:val="00E63C37"/>
    <w:rsid w:val="00E65A4C"/>
    <w:rsid w:val="00E67A14"/>
    <w:rsid w:val="00E71927"/>
    <w:rsid w:val="00E76276"/>
    <w:rsid w:val="00E86D9C"/>
    <w:rsid w:val="00E87565"/>
    <w:rsid w:val="00E91705"/>
    <w:rsid w:val="00E92BF3"/>
    <w:rsid w:val="00E958C6"/>
    <w:rsid w:val="00E958DB"/>
    <w:rsid w:val="00E95C7B"/>
    <w:rsid w:val="00EA2F89"/>
    <w:rsid w:val="00EA3269"/>
    <w:rsid w:val="00EA39C9"/>
    <w:rsid w:val="00EA40B8"/>
    <w:rsid w:val="00EB3497"/>
    <w:rsid w:val="00EB4B6A"/>
    <w:rsid w:val="00EC0578"/>
    <w:rsid w:val="00EC0BD9"/>
    <w:rsid w:val="00EC65B6"/>
    <w:rsid w:val="00ED1920"/>
    <w:rsid w:val="00ED528F"/>
    <w:rsid w:val="00ED6498"/>
    <w:rsid w:val="00F01232"/>
    <w:rsid w:val="00F04E01"/>
    <w:rsid w:val="00F06236"/>
    <w:rsid w:val="00F077DE"/>
    <w:rsid w:val="00F12A7F"/>
    <w:rsid w:val="00F17763"/>
    <w:rsid w:val="00F20641"/>
    <w:rsid w:val="00F21CF7"/>
    <w:rsid w:val="00F253BB"/>
    <w:rsid w:val="00F30269"/>
    <w:rsid w:val="00F31C02"/>
    <w:rsid w:val="00F33347"/>
    <w:rsid w:val="00F33795"/>
    <w:rsid w:val="00F35418"/>
    <w:rsid w:val="00F37B6A"/>
    <w:rsid w:val="00F44C7F"/>
    <w:rsid w:val="00F45A05"/>
    <w:rsid w:val="00F47778"/>
    <w:rsid w:val="00F54BCC"/>
    <w:rsid w:val="00F54BD7"/>
    <w:rsid w:val="00F569DC"/>
    <w:rsid w:val="00F61A3D"/>
    <w:rsid w:val="00F61AE4"/>
    <w:rsid w:val="00F61F84"/>
    <w:rsid w:val="00F676E3"/>
    <w:rsid w:val="00F7112F"/>
    <w:rsid w:val="00F73710"/>
    <w:rsid w:val="00F738F6"/>
    <w:rsid w:val="00F7703B"/>
    <w:rsid w:val="00F823DB"/>
    <w:rsid w:val="00F87E73"/>
    <w:rsid w:val="00F9322E"/>
    <w:rsid w:val="00FA13F2"/>
    <w:rsid w:val="00FA43FF"/>
    <w:rsid w:val="00FB42BC"/>
    <w:rsid w:val="00FB4576"/>
    <w:rsid w:val="00FB46E1"/>
    <w:rsid w:val="00FB56C1"/>
    <w:rsid w:val="00FB59EA"/>
    <w:rsid w:val="00FB6EE4"/>
    <w:rsid w:val="00FC7085"/>
    <w:rsid w:val="00FD1104"/>
    <w:rsid w:val="00FD1CE1"/>
    <w:rsid w:val="00FD2556"/>
    <w:rsid w:val="00FD351C"/>
    <w:rsid w:val="00FE6FDD"/>
    <w:rsid w:val="00FF0C16"/>
    <w:rsid w:val="00FF4008"/>
    <w:rsid w:val="6258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0AF0F7"/>
  <w14:defaultImageDpi w14:val="32767"/>
  <w15:docId w15:val="{1CF43E76-DD5F-4F79-9C46-4FCB07CE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85F"/>
    <w:pPr>
      <w:spacing w:line="288" w:lineRule="auto"/>
    </w:pPr>
    <w:rPr>
      <w:rFonts w:ascii="Arial" w:hAnsi="Arial"/>
    </w:rPr>
  </w:style>
  <w:style w:type="paragraph" w:styleId="Heading1">
    <w:name w:val="heading 1"/>
    <w:next w:val="Normal"/>
    <w:link w:val="Heading1Char"/>
    <w:uiPriority w:val="1"/>
    <w:qFormat/>
    <w:rsid w:val="006F169C"/>
    <w:pPr>
      <w:spacing w:after="840"/>
      <w:outlineLvl w:val="0"/>
    </w:pPr>
    <w:rPr>
      <w:rFonts w:ascii="Arial" w:hAnsi="Arial"/>
      <w:sz w:val="52"/>
      <w:szCs w:val="18"/>
    </w:rPr>
  </w:style>
  <w:style w:type="paragraph" w:styleId="Heading2">
    <w:name w:val="heading 2"/>
    <w:next w:val="Normal"/>
    <w:link w:val="Heading2Char"/>
    <w:uiPriority w:val="2"/>
    <w:qFormat/>
    <w:rsid w:val="000C6BFC"/>
    <w:pPr>
      <w:keepNext/>
      <w:pBdr>
        <w:top w:val="single" w:sz="18" w:space="1" w:color="F3F3F3" w:themeColor="background2"/>
        <w:left w:val="single" w:sz="18" w:space="4" w:color="F3F3F3" w:themeColor="background2"/>
        <w:bottom w:val="single" w:sz="18" w:space="1" w:color="F3F3F3" w:themeColor="background2"/>
        <w:right w:val="single" w:sz="18" w:space="4" w:color="F3F3F3" w:themeColor="background2"/>
      </w:pBdr>
      <w:shd w:val="clear" w:color="auto" w:fill="F3F3F3" w:themeFill="background2"/>
      <w:spacing w:before="360" w:after="120"/>
      <w:contextualSpacing/>
      <w:outlineLvl w:val="1"/>
    </w:pPr>
    <w:rPr>
      <w:rFonts w:ascii="Arial" w:hAnsi="Arial"/>
      <w:color w:val="3F387C" w:themeColor="text2"/>
      <w:sz w:val="46"/>
      <w:szCs w:val="20"/>
    </w:rPr>
  </w:style>
  <w:style w:type="paragraph" w:styleId="Heading3">
    <w:name w:val="heading 3"/>
    <w:next w:val="Normal"/>
    <w:link w:val="Heading3Char"/>
    <w:uiPriority w:val="3"/>
    <w:qFormat/>
    <w:rsid w:val="00EA39C9"/>
    <w:pPr>
      <w:keepNext/>
      <w:keepLines/>
      <w:spacing w:before="360" w:after="240"/>
      <w:outlineLvl w:val="2"/>
    </w:pPr>
    <w:rPr>
      <w:rFonts w:ascii="Arial" w:hAnsi="Arial"/>
      <w:bCs/>
      <w:color w:val="353435" w:themeColor="text1"/>
      <w:kern w:val="32"/>
      <w:sz w:val="36"/>
      <w:szCs w:val="32"/>
    </w:rPr>
  </w:style>
  <w:style w:type="paragraph" w:styleId="Heading4">
    <w:name w:val="heading 4"/>
    <w:next w:val="Normal"/>
    <w:link w:val="Heading4Char"/>
    <w:uiPriority w:val="4"/>
    <w:qFormat/>
    <w:rsid w:val="00172B3D"/>
    <w:pPr>
      <w:keepNext/>
      <w:keepLines/>
      <w:spacing w:before="360" w:after="120"/>
      <w:outlineLvl w:val="3"/>
    </w:pPr>
    <w:rPr>
      <w:rFonts w:ascii="Arial" w:hAnsi="Arial"/>
      <w:bCs/>
      <w:color w:val="797979" w:themeColor="background2" w:themeShade="80"/>
      <w:kern w:val="32"/>
      <w:sz w:val="28"/>
      <w:szCs w:val="32"/>
    </w:rPr>
  </w:style>
  <w:style w:type="paragraph" w:styleId="Heading5">
    <w:name w:val="heading 5"/>
    <w:next w:val="Normal"/>
    <w:link w:val="Heading5Char"/>
    <w:uiPriority w:val="5"/>
    <w:qFormat/>
    <w:rsid w:val="002C065B"/>
    <w:pPr>
      <w:keepNext/>
      <w:keepLines/>
      <w:spacing w:before="360" w:after="120"/>
      <w:outlineLvl w:val="4"/>
    </w:pPr>
    <w:rPr>
      <w:rFonts w:ascii="Arial" w:hAnsi="Arial"/>
      <w:bCs/>
      <w:i/>
      <w:color w:val="797979" w:themeColor="background2" w:themeShade="80"/>
      <w:kern w:val="32"/>
      <w:sz w:val="28"/>
      <w:szCs w:val="3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172B3D"/>
    <w:pPr>
      <w:outlineLvl w:val="5"/>
    </w:pPr>
    <w:rPr>
      <w:rFonts w:asciiTheme="majorHAnsi" w:hAnsiTheme="majorHAnsi" w:cstheme="majorHAnsi"/>
      <w:b/>
      <w:i w:val="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2B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CCaption-Exhibit">
    <w:name w:val="NORC Caption - Exhibit"/>
    <w:basedOn w:val="Normal"/>
    <w:qFormat/>
    <w:rsid w:val="00A57CAA"/>
    <w:pPr>
      <w:keepNext/>
      <w:keepLines/>
      <w:tabs>
        <w:tab w:val="left" w:pos="1224"/>
      </w:tabs>
      <w:spacing w:before="320" w:after="80" w:line="240" w:lineRule="auto"/>
    </w:pPr>
    <w:rPr>
      <w:rFonts w:eastAsia="Times New Roman" w:cs="Arial"/>
      <w:color w:val="353435" w:themeColor="text1"/>
      <w:szCs w:val="24"/>
    </w:rPr>
  </w:style>
  <w:style w:type="character" w:customStyle="1" w:styleId="NORCCaption-Color">
    <w:name w:val="NORC Caption - Color"/>
    <w:qFormat/>
    <w:rsid w:val="00172B3D"/>
    <w:rPr>
      <w:rFonts w:ascii="Arial" w:hAnsi="Arial"/>
      <w:b/>
      <w:color w:val="353435" w:themeColor="text1"/>
      <w:sz w:val="22"/>
    </w:rPr>
  </w:style>
  <w:style w:type="paragraph" w:styleId="FootnoteText">
    <w:name w:val="footnote text"/>
    <w:basedOn w:val="Normal"/>
    <w:link w:val="FootnoteTextChar"/>
    <w:uiPriority w:val="99"/>
    <w:rsid w:val="00172B3D"/>
    <w:pPr>
      <w:spacing w:after="60"/>
    </w:pPr>
    <w:rPr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B3D"/>
    <w:pPr>
      <w:numPr>
        <w:ilvl w:val="1"/>
      </w:numPr>
    </w:pPr>
    <w:rPr>
      <w:rFonts w:eastAsiaTheme="majorEastAsia" w:cstheme="majorBidi"/>
      <w:i/>
      <w:iCs/>
      <w:color w:val="353435" w:themeColor="text1"/>
      <w:spacing w:val="15"/>
    </w:rPr>
  </w:style>
  <w:style w:type="paragraph" w:customStyle="1" w:styleId="NORCCoverVolume">
    <w:name w:val="NORC Cover Volume"/>
    <w:basedOn w:val="Normal"/>
    <w:qFormat/>
    <w:rsid w:val="00A13BBE"/>
    <w:pPr>
      <w:spacing w:before="1700" w:after="40" w:line="240" w:lineRule="auto"/>
    </w:pPr>
    <w:rPr>
      <w:rFonts w:ascii="Arial Bold" w:eastAsia="Garamond" w:hAnsi="Arial Bold"/>
      <w:b/>
      <w:caps/>
      <w:color w:val="615653"/>
      <w:spacing w:val="20"/>
      <w:sz w:val="40"/>
    </w:rPr>
  </w:style>
  <w:style w:type="paragraph" w:customStyle="1" w:styleId="NORCCoverTitle">
    <w:name w:val="NORC Cover Title"/>
    <w:qFormat/>
    <w:rsid w:val="00172B3D"/>
    <w:pPr>
      <w:spacing w:line="360" w:lineRule="auto"/>
    </w:pPr>
    <w:rPr>
      <w:rFonts w:eastAsia="Times New Roman"/>
      <w:sz w:val="56"/>
    </w:rPr>
  </w:style>
  <w:style w:type="paragraph" w:customStyle="1" w:styleId="NORCCoverAddressInformation">
    <w:name w:val="NORC Cover Address Information"/>
    <w:qFormat/>
    <w:rsid w:val="00172B3D"/>
    <w:pPr>
      <w:autoSpaceDE w:val="0"/>
      <w:autoSpaceDN w:val="0"/>
      <w:adjustRightInd w:val="0"/>
      <w:spacing w:line="288" w:lineRule="auto"/>
      <w:textAlignment w:val="center"/>
    </w:pPr>
    <w:rPr>
      <w:rFonts w:ascii="Arial" w:eastAsia="Times New Roman" w:hAnsi="Arial" w:cs="AGaramond-Regular"/>
      <w:color w:val="000000"/>
      <w:sz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2B3D"/>
    <w:rPr>
      <w:rFonts w:ascii="Arial" w:hAnsi="Arial"/>
      <w:sz w:val="18"/>
      <w:szCs w:val="20"/>
    </w:rPr>
  </w:style>
  <w:style w:type="paragraph" w:customStyle="1" w:styleId="NORCDisclaimer">
    <w:name w:val="NORC Disclaimer"/>
    <w:qFormat/>
    <w:rsid w:val="00172B3D"/>
    <w:pPr>
      <w:tabs>
        <w:tab w:val="left" w:pos="1728"/>
      </w:tabs>
      <w:spacing w:before="40" w:after="40" w:line="240" w:lineRule="exact"/>
    </w:pPr>
    <w:rPr>
      <w:rFonts w:ascii="Arial" w:eastAsia="Times New Roman" w:hAnsi="Arial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172B3D"/>
    <w:rPr>
      <w:rFonts w:ascii="Arial" w:eastAsiaTheme="majorEastAsia" w:hAnsi="Arial" w:cstheme="majorBidi"/>
      <w:i/>
      <w:iCs/>
      <w:color w:val="353435" w:themeColor="text1"/>
      <w:spacing w:val="1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2B3D"/>
    <w:pPr>
      <w:spacing w:after="200"/>
    </w:pPr>
    <w:rPr>
      <w:b/>
      <w:bCs/>
      <w:color w:val="53565A"/>
      <w:szCs w:val="18"/>
    </w:rPr>
  </w:style>
  <w:style w:type="paragraph" w:styleId="ListBullet">
    <w:name w:val="List Bullet"/>
    <w:basedOn w:val="Normal"/>
    <w:rsid w:val="003520A5"/>
    <w:pPr>
      <w:numPr>
        <w:numId w:val="5"/>
      </w:numPr>
      <w:tabs>
        <w:tab w:val="clear" w:pos="360"/>
      </w:tabs>
      <w:spacing w:after="60" w:line="271" w:lineRule="auto"/>
      <w:ind w:hanging="274"/>
    </w:pPr>
  </w:style>
  <w:style w:type="paragraph" w:styleId="ListBullet2">
    <w:name w:val="List Bullet 2"/>
    <w:basedOn w:val="Normal"/>
    <w:uiPriority w:val="99"/>
    <w:rsid w:val="003520A5"/>
    <w:pPr>
      <w:numPr>
        <w:numId w:val="10"/>
      </w:numPr>
      <w:spacing w:after="60" w:line="271" w:lineRule="auto"/>
      <w:ind w:left="590" w:hanging="230"/>
    </w:pPr>
  </w:style>
  <w:style w:type="paragraph" w:styleId="BodyText">
    <w:name w:val="Body Text"/>
    <w:basedOn w:val="Normal"/>
    <w:link w:val="BodyTextChar"/>
    <w:uiPriority w:val="99"/>
    <w:rsid w:val="006B4A9B"/>
    <w:pPr>
      <w:spacing w:before="120" w:after="120" w:line="276" w:lineRule="auto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1"/>
    <w:rsid w:val="006F169C"/>
    <w:rPr>
      <w:rFonts w:ascii="Arial" w:hAnsi="Arial"/>
      <w:sz w:val="52"/>
      <w:szCs w:val="18"/>
    </w:rPr>
  </w:style>
  <w:style w:type="paragraph" w:customStyle="1" w:styleId="NORCCaption-Table">
    <w:name w:val="NORC Caption - Table"/>
    <w:basedOn w:val="Normal"/>
    <w:qFormat/>
    <w:rsid w:val="00A57CAA"/>
    <w:pPr>
      <w:keepNext/>
      <w:keepLines/>
      <w:tabs>
        <w:tab w:val="left" w:pos="1224"/>
      </w:tabs>
      <w:spacing w:before="320" w:after="80" w:line="240" w:lineRule="auto"/>
    </w:pPr>
    <w:rPr>
      <w:rFonts w:eastAsia="Times New Roman" w:cs="Arial"/>
      <w:color w:val="353435" w:themeColor="text1"/>
      <w:szCs w:val="24"/>
    </w:rPr>
  </w:style>
  <w:style w:type="character" w:customStyle="1" w:styleId="Heading5Char">
    <w:name w:val="Heading 5 Char"/>
    <w:basedOn w:val="DefaultParagraphFont"/>
    <w:link w:val="Heading5"/>
    <w:uiPriority w:val="5"/>
    <w:rsid w:val="002C065B"/>
    <w:rPr>
      <w:rFonts w:ascii="Arial" w:hAnsi="Arial"/>
      <w:bCs/>
      <w:i/>
      <w:color w:val="797979" w:themeColor="background2" w:themeShade="80"/>
      <w:kern w:val="32"/>
      <w:sz w:val="28"/>
      <w:szCs w:val="32"/>
    </w:rPr>
  </w:style>
  <w:style w:type="paragraph" w:styleId="ListBullet3">
    <w:name w:val="List Bullet 3"/>
    <w:basedOn w:val="Normal"/>
    <w:uiPriority w:val="99"/>
    <w:rsid w:val="00172B3D"/>
    <w:pPr>
      <w:numPr>
        <w:numId w:val="6"/>
      </w:numPr>
      <w:spacing w:after="60"/>
      <w:ind w:left="900" w:hanging="180"/>
    </w:pPr>
  </w:style>
  <w:style w:type="paragraph" w:customStyle="1" w:styleId="NORCTableBullet2">
    <w:name w:val="NORC Table Bullet 2"/>
    <w:basedOn w:val="Normal"/>
    <w:qFormat/>
    <w:rsid w:val="00C21D4E"/>
    <w:pPr>
      <w:numPr>
        <w:numId w:val="1"/>
      </w:numPr>
      <w:spacing w:before="60" w:after="60" w:line="240" w:lineRule="auto"/>
      <w:ind w:left="423" w:hanging="182"/>
      <w:contextualSpacing/>
    </w:pPr>
    <w:rPr>
      <w:rFonts w:eastAsia="Times New Roman"/>
      <w:color w:val="000000"/>
      <w:sz w:val="20"/>
      <w:szCs w:val="20"/>
    </w:rPr>
  </w:style>
  <w:style w:type="paragraph" w:customStyle="1" w:styleId="NORCTableBullet1">
    <w:name w:val="NORC Table Bullet 1"/>
    <w:basedOn w:val="NORCTableBodyLeft"/>
    <w:qFormat/>
    <w:rsid w:val="00C21D4E"/>
    <w:pPr>
      <w:numPr>
        <w:numId w:val="2"/>
      </w:numPr>
      <w:ind w:left="243" w:hanging="187"/>
    </w:pPr>
  </w:style>
  <w:style w:type="paragraph" w:customStyle="1" w:styleId="Default">
    <w:name w:val="Default"/>
    <w:basedOn w:val="Normal"/>
    <w:rsid w:val="00172B3D"/>
    <w:pPr>
      <w:autoSpaceDE w:val="0"/>
      <w:autoSpaceDN w:val="0"/>
    </w:pPr>
    <w:rPr>
      <w:color w:val="000000"/>
    </w:rPr>
  </w:style>
  <w:style w:type="paragraph" w:styleId="Bibliography">
    <w:name w:val="Bibliography"/>
    <w:basedOn w:val="Normal"/>
    <w:next w:val="Normal"/>
    <w:uiPriority w:val="37"/>
    <w:semiHidden/>
    <w:unhideWhenUsed/>
    <w:rsid w:val="00172B3D"/>
    <w:pPr>
      <w:spacing w:after="180"/>
    </w:pPr>
  </w:style>
  <w:style w:type="paragraph" w:styleId="ListBullet4">
    <w:name w:val="List Bullet 4"/>
    <w:basedOn w:val="ListBullet3"/>
    <w:uiPriority w:val="99"/>
    <w:rsid w:val="00172B3D"/>
    <w:pPr>
      <w:ind w:left="1170"/>
    </w:pPr>
  </w:style>
  <w:style w:type="paragraph" w:styleId="ListBullet5">
    <w:name w:val="List Bullet 5"/>
    <w:basedOn w:val="Normal"/>
    <w:uiPriority w:val="99"/>
    <w:unhideWhenUsed/>
    <w:rsid w:val="00172B3D"/>
    <w:pPr>
      <w:numPr>
        <w:numId w:val="7"/>
      </w:numPr>
      <w:contextualSpacing/>
    </w:pPr>
  </w:style>
  <w:style w:type="paragraph" w:customStyle="1" w:styleId="NORCTableBodyLeft">
    <w:name w:val="NORC Table Body Left"/>
    <w:qFormat/>
    <w:rsid w:val="004A4A13"/>
    <w:pPr>
      <w:spacing w:before="80" w:after="80"/>
    </w:pPr>
    <w:rPr>
      <w:rFonts w:ascii="Arial" w:eastAsiaTheme="minorEastAsia" w:hAnsi="Arial"/>
      <w:sz w:val="20"/>
    </w:rPr>
  </w:style>
  <w:style w:type="character" w:styleId="IntenseEmphasis">
    <w:name w:val="Intense Emphasis"/>
    <w:basedOn w:val="DefaultParagraphFont"/>
    <w:uiPriority w:val="21"/>
    <w:qFormat/>
    <w:rsid w:val="00172B3D"/>
    <w:rPr>
      <w:b/>
      <w:bCs/>
      <w:i/>
      <w:iCs/>
      <w:color w:val="353435" w:themeColor="text1"/>
    </w:rPr>
  </w:style>
  <w:style w:type="paragraph" w:styleId="TableofFigures">
    <w:name w:val="table of figures"/>
    <w:basedOn w:val="Normal"/>
    <w:next w:val="Normal"/>
    <w:uiPriority w:val="99"/>
    <w:unhideWhenUsed/>
    <w:rsid w:val="006D01CF"/>
    <w:pPr>
      <w:tabs>
        <w:tab w:val="left" w:pos="1080"/>
        <w:tab w:val="right" w:leader="dot" w:pos="10080"/>
      </w:tabs>
      <w:spacing w:after="180"/>
      <w:ind w:left="1080" w:hanging="1080"/>
    </w:pPr>
    <w:rPr>
      <w:noProof/>
    </w:rPr>
  </w:style>
  <w:style w:type="character" w:customStyle="1" w:styleId="Heading2Char">
    <w:name w:val="Heading 2 Char"/>
    <w:basedOn w:val="DefaultParagraphFont"/>
    <w:link w:val="Heading2"/>
    <w:uiPriority w:val="2"/>
    <w:rsid w:val="000C6BFC"/>
    <w:rPr>
      <w:rFonts w:ascii="Arial" w:hAnsi="Arial"/>
      <w:color w:val="3F387C" w:themeColor="text2"/>
      <w:sz w:val="46"/>
      <w:szCs w:val="20"/>
      <w:shd w:val="clear" w:color="auto" w:fill="F3F3F3" w:themeFill="background2"/>
    </w:rPr>
  </w:style>
  <w:style w:type="character" w:customStyle="1" w:styleId="Heading3Char">
    <w:name w:val="Heading 3 Char"/>
    <w:basedOn w:val="DefaultParagraphFont"/>
    <w:link w:val="Heading3"/>
    <w:uiPriority w:val="3"/>
    <w:rsid w:val="00EA39C9"/>
    <w:rPr>
      <w:rFonts w:ascii="Arial" w:hAnsi="Arial"/>
      <w:bCs/>
      <w:color w:val="353435" w:themeColor="text1"/>
      <w:kern w:val="32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172B3D"/>
    <w:rPr>
      <w:rFonts w:ascii="Arial" w:hAnsi="Arial"/>
      <w:bCs/>
      <w:color w:val="797979" w:themeColor="background2" w:themeShade="80"/>
      <w:kern w:val="32"/>
      <w:sz w:val="28"/>
      <w:szCs w:val="32"/>
    </w:rPr>
  </w:style>
  <w:style w:type="paragraph" w:styleId="TOC1">
    <w:name w:val="toc 1"/>
    <w:next w:val="Normal"/>
    <w:uiPriority w:val="39"/>
    <w:rsid w:val="006D01CF"/>
    <w:pPr>
      <w:tabs>
        <w:tab w:val="left" w:pos="504"/>
        <w:tab w:val="right" w:leader="dot" w:pos="10080"/>
      </w:tabs>
      <w:spacing w:before="360" w:after="120"/>
    </w:pPr>
    <w:rPr>
      <w:rFonts w:ascii="Arial" w:eastAsia="Times New Roman" w:hAnsi="Arial"/>
      <w:color w:val="000000"/>
      <w:sz w:val="28"/>
    </w:rPr>
  </w:style>
  <w:style w:type="paragraph" w:styleId="TOC2">
    <w:name w:val="toc 2"/>
    <w:basedOn w:val="TOC1"/>
    <w:next w:val="Normal"/>
    <w:uiPriority w:val="39"/>
    <w:rsid w:val="006D01CF"/>
  </w:style>
  <w:style w:type="paragraph" w:styleId="TOC3">
    <w:name w:val="toc 3"/>
    <w:next w:val="Normal"/>
    <w:uiPriority w:val="39"/>
    <w:rsid w:val="00172B3D"/>
    <w:pPr>
      <w:tabs>
        <w:tab w:val="right" w:leader="dot" w:pos="10080"/>
      </w:tabs>
      <w:spacing w:after="60"/>
      <w:ind w:left="1080" w:hanging="720"/>
    </w:pPr>
    <w:rPr>
      <w:rFonts w:ascii="Arial" w:eastAsia="Times New Roman" w:hAnsi="Arial"/>
      <w:noProof/>
    </w:rPr>
  </w:style>
  <w:style w:type="paragraph" w:styleId="CommentText">
    <w:name w:val="annotation text"/>
    <w:basedOn w:val="Normal"/>
    <w:link w:val="CommentTextChar"/>
    <w:uiPriority w:val="99"/>
    <w:rsid w:val="00172B3D"/>
    <w:rPr>
      <w:rFonts w:ascii="Calibri" w:eastAsia="Times New Roman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B3D"/>
    <w:rPr>
      <w:rFonts w:ascii="Calibri" w:eastAsia="Times New Roman" w:hAnsi="Calibri"/>
      <w:szCs w:val="20"/>
    </w:rPr>
  </w:style>
  <w:style w:type="paragraph" w:styleId="Header">
    <w:name w:val="header"/>
    <w:basedOn w:val="Normal"/>
    <w:link w:val="HeaderChar"/>
    <w:uiPriority w:val="99"/>
    <w:rsid w:val="009A2E8B"/>
    <w:pPr>
      <w:spacing w:line="240" w:lineRule="auto"/>
    </w:pPr>
    <w:rPr>
      <w:rFonts w:eastAsia="Calibr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A2E8B"/>
    <w:rPr>
      <w:rFonts w:ascii="Arial" w:eastAsia="Calibri" w:hAnsi="Arial"/>
      <w:b/>
      <w:sz w:val="16"/>
    </w:rPr>
  </w:style>
  <w:style w:type="paragraph" w:styleId="Footer">
    <w:name w:val="footer"/>
    <w:basedOn w:val="NoSpacing"/>
    <w:link w:val="FooterChar"/>
    <w:uiPriority w:val="99"/>
    <w:rsid w:val="00B324AE"/>
    <w:pPr>
      <w:ind w:left="-90"/>
      <w:jc w:val="right"/>
    </w:pPr>
    <w:rPr>
      <w:rFonts w:asciiTheme="majorHAnsi" w:hAnsiTheme="majorHAnsi" w:cstheme="majorHAnsi"/>
      <w:b/>
      <w:bCs/>
      <w:sz w:val="16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324AE"/>
    <w:rPr>
      <w:rFonts w:asciiTheme="majorHAnsi" w:hAnsiTheme="majorHAnsi" w:cstheme="majorHAnsi"/>
      <w:b/>
      <w:bCs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72B3D"/>
    <w:rPr>
      <w:sz w:val="16"/>
      <w:szCs w:val="16"/>
    </w:rPr>
  </w:style>
  <w:style w:type="paragraph" w:styleId="ListNumber">
    <w:name w:val="List Number"/>
    <w:basedOn w:val="Normal"/>
    <w:uiPriority w:val="99"/>
    <w:semiHidden/>
    <w:unhideWhenUsed/>
    <w:rsid w:val="00172B3D"/>
    <w:pPr>
      <w:keepLines/>
      <w:numPr>
        <w:numId w:val="3"/>
      </w:numPr>
      <w:spacing w:before="120" w:after="120"/>
    </w:pPr>
  </w:style>
  <w:style w:type="paragraph" w:styleId="ListNumber2">
    <w:name w:val="List Number 2"/>
    <w:basedOn w:val="Normal"/>
    <w:uiPriority w:val="99"/>
    <w:semiHidden/>
    <w:unhideWhenUsed/>
    <w:rsid w:val="00172B3D"/>
    <w:pPr>
      <w:keepLines/>
      <w:numPr>
        <w:numId w:val="4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172B3D"/>
  </w:style>
  <w:style w:type="character" w:customStyle="1" w:styleId="TitleChar">
    <w:name w:val="Title Char"/>
    <w:basedOn w:val="DefaultParagraphFont"/>
    <w:link w:val="Title"/>
    <w:uiPriority w:val="10"/>
    <w:rsid w:val="00172B3D"/>
    <w:rPr>
      <w:rFonts w:ascii="Arial" w:hAnsi="Arial"/>
      <w:color w:val="615653"/>
      <w:spacing w:val="-14"/>
      <w:sz w:val="60"/>
    </w:rPr>
  </w:style>
  <w:style w:type="character" w:styleId="Hyperlink">
    <w:name w:val="Hyperlink"/>
    <w:basedOn w:val="DefaultParagraphFont"/>
    <w:uiPriority w:val="99"/>
    <w:unhideWhenUsed/>
    <w:rsid w:val="00172B3D"/>
    <w:rPr>
      <w:rFonts w:ascii="Arial" w:hAnsi="Arial"/>
      <w:color w:val="353435" w:themeColor="text1"/>
      <w:sz w:val="22"/>
      <w:u w:val="single"/>
    </w:rPr>
  </w:style>
  <w:style w:type="paragraph" w:styleId="NormalWeb">
    <w:name w:val="Normal (Web)"/>
    <w:basedOn w:val="Normal"/>
    <w:uiPriority w:val="99"/>
    <w:semiHidden/>
    <w:unhideWhenUsed/>
    <w:rsid w:val="00172B3D"/>
    <w:pPr>
      <w:spacing w:before="100" w:beforeAutospacing="1" w:after="100" w:afterAutospacing="1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B3D"/>
    <w:rPr>
      <w:rFonts w:ascii="Calibri" w:eastAsia="Times New Roman" w:hAnsi="Calibri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3D"/>
    <w:rPr>
      <w:rFonts w:ascii="Tahoma" w:hAnsi="Tahoma" w:cs="Tahoma"/>
      <w:sz w:val="16"/>
      <w:szCs w:val="16"/>
    </w:rPr>
  </w:style>
  <w:style w:type="table" w:styleId="TableGrid">
    <w:name w:val="Table Grid"/>
    <w:aliases w:val="NASHP Table Grid"/>
    <w:basedOn w:val="TableNormal"/>
    <w:uiPriority w:val="39"/>
    <w:rsid w:val="0017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Square,Table bullet,Resume Title,Citation List,heading 4,Graphic,List Paragraph1,1st level - Bullet List Paragraph,Lettre d'introduction,Paragrafo elenco,Bullet list,C-Change,List Paragraph_Table bullets,Ha,List_Paragraph"/>
    <w:basedOn w:val="Normal"/>
    <w:link w:val="ListParagraphChar"/>
    <w:uiPriority w:val="34"/>
    <w:qFormat/>
    <w:rsid w:val="00172B3D"/>
    <w:pPr>
      <w:ind w:left="720"/>
      <w:contextualSpacing/>
    </w:pPr>
  </w:style>
  <w:style w:type="paragraph" w:styleId="TOCHeading">
    <w:name w:val="TOC Heading"/>
    <w:basedOn w:val="Heading2"/>
    <w:next w:val="Normal"/>
    <w:uiPriority w:val="8"/>
    <w:unhideWhenUsed/>
    <w:rsid w:val="00172B3D"/>
    <w:pPr>
      <w:spacing w:before="0"/>
    </w:pPr>
  </w:style>
  <w:style w:type="paragraph" w:customStyle="1" w:styleId="NORCCoverDate">
    <w:name w:val="NORC Cover Date"/>
    <w:qFormat/>
    <w:rsid w:val="00172B3D"/>
    <w:pPr>
      <w:spacing w:after="60"/>
    </w:pPr>
    <w:rPr>
      <w:rFonts w:ascii="Arial" w:eastAsia="Times New Roman" w:hAnsi="Arial" w:cs="ArialMT"/>
      <w:caps/>
      <w:color w:val="000000"/>
      <w:spacing w:val="10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6B4A9B"/>
    <w:rPr>
      <w:rFonts w:ascii="Arial" w:eastAsia="Calibri" w:hAnsi="Arial"/>
    </w:rPr>
  </w:style>
  <w:style w:type="paragraph" w:customStyle="1" w:styleId="NORCTableHeader2">
    <w:name w:val="NORC Table Header 2"/>
    <w:qFormat/>
    <w:rsid w:val="002410FD"/>
    <w:pPr>
      <w:spacing w:before="80" w:after="80"/>
    </w:pPr>
    <w:rPr>
      <w:rFonts w:ascii="Arial" w:eastAsia="MS Mincho" w:hAnsi="Arial" w:cs="Arial"/>
      <w:b/>
      <w:sz w:val="20"/>
    </w:rPr>
  </w:style>
  <w:style w:type="paragraph" w:customStyle="1" w:styleId="NORCTableBodyCenter">
    <w:name w:val="NORC Table Body Center"/>
    <w:basedOn w:val="NORCTableBodyLeft"/>
    <w:qFormat/>
    <w:rsid w:val="00DF3165"/>
    <w:pPr>
      <w:jc w:val="center"/>
    </w:pPr>
  </w:style>
  <w:style w:type="paragraph" w:customStyle="1" w:styleId="NORCTableBodyRight">
    <w:name w:val="NORC Table Body Right"/>
    <w:basedOn w:val="NORCTableBodyLeft"/>
    <w:qFormat/>
    <w:rsid w:val="00A90751"/>
    <w:pPr>
      <w:jc w:val="right"/>
    </w:pPr>
  </w:style>
  <w:style w:type="paragraph" w:customStyle="1" w:styleId="NORCTableHeader1">
    <w:name w:val="NORC Table Header 1"/>
    <w:basedOn w:val="Normal"/>
    <w:qFormat/>
    <w:rsid w:val="00A90751"/>
    <w:pPr>
      <w:keepNext/>
      <w:keepLines/>
      <w:spacing w:before="80" w:after="80" w:line="240" w:lineRule="auto"/>
      <w:jc w:val="center"/>
    </w:pPr>
    <w:rPr>
      <w:rFonts w:eastAsia="Calibri" w:cs="Arial"/>
      <w:b/>
      <w:sz w:val="20"/>
      <w:szCs w:val="20"/>
    </w:rPr>
  </w:style>
  <w:style w:type="character" w:styleId="BookTitle">
    <w:name w:val="Book Title"/>
    <w:basedOn w:val="DefaultParagraphFont"/>
    <w:uiPriority w:val="33"/>
    <w:unhideWhenUsed/>
    <w:qFormat/>
    <w:locked/>
    <w:rsid w:val="00172B3D"/>
    <w:rPr>
      <w:rFonts w:ascii="Times New Roman" w:hAnsi="Times New Roman"/>
      <w:b/>
      <w:bCs/>
      <w:smallCap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2B3D"/>
    <w:pPr>
      <w:spacing w:after="24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B3D"/>
    <w:rPr>
      <w:rFonts w:ascii="Arial" w:hAnsi="Arial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B3D"/>
    <w:pPr>
      <w:pBdr>
        <w:bottom w:val="single" w:sz="4" w:space="4" w:color="333333" w:themeColor="accent1"/>
      </w:pBdr>
      <w:spacing w:before="200" w:after="280"/>
      <w:ind w:left="936" w:right="936"/>
    </w:pPr>
    <w:rPr>
      <w:b/>
      <w:bCs/>
      <w:i/>
      <w:iCs/>
      <w:color w:val="35343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B3D"/>
    <w:rPr>
      <w:rFonts w:ascii="Arial" w:hAnsi="Arial"/>
      <w:b/>
      <w:bCs/>
      <w:i/>
      <w:iCs/>
      <w:color w:val="353435" w:themeColor="text1"/>
    </w:rPr>
  </w:style>
  <w:style w:type="paragraph" w:styleId="ListNumber4">
    <w:name w:val="List Number 4"/>
    <w:basedOn w:val="Normal"/>
    <w:uiPriority w:val="99"/>
    <w:semiHidden/>
    <w:unhideWhenUsed/>
    <w:rsid w:val="00172B3D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unhideWhenUsed/>
    <w:rsid w:val="00172B3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172B3D"/>
    <w:pPr>
      <w:spacing w:after="120"/>
      <w:ind w:left="360"/>
    </w:pPr>
  </w:style>
  <w:style w:type="paragraph" w:styleId="ListContinue2">
    <w:name w:val="List Continue 2"/>
    <w:basedOn w:val="Normal"/>
    <w:uiPriority w:val="99"/>
    <w:unhideWhenUsed/>
    <w:rsid w:val="00172B3D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172B3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72B3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72B3D"/>
    <w:pPr>
      <w:spacing w:after="120"/>
      <w:ind w:left="1800"/>
      <w:contextualSpacing/>
    </w:pPr>
  </w:style>
  <w:style w:type="character" w:styleId="FootnoteReference">
    <w:name w:val="footnote reference"/>
    <w:basedOn w:val="DefaultParagraphFont"/>
    <w:uiPriority w:val="99"/>
    <w:rsid w:val="00172B3D"/>
    <w:rPr>
      <w:rFonts w:ascii="Arial" w:hAnsi="Arial"/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EC0BD9"/>
    <w:pPr>
      <w:spacing w:before="200" w:after="60" w:line="276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C0BD9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2B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2B3D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2B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2B3D"/>
    <w:rPr>
      <w:rFonts w:ascii="Arial" w:hAnsi="Arial"/>
    </w:rPr>
  </w:style>
  <w:style w:type="character" w:customStyle="1" w:styleId="NORCInlineHeadingL1">
    <w:name w:val="NORC Inline Heading L1"/>
    <w:basedOn w:val="DefaultParagraphFont"/>
    <w:uiPriority w:val="6"/>
    <w:qFormat/>
    <w:rsid w:val="00172B3D"/>
    <w:rPr>
      <w:rFonts w:ascii="Arial" w:hAnsi="Arial"/>
      <w:b/>
      <w:color w:val="353435" w:themeColor="text1"/>
      <w:sz w:val="22"/>
    </w:rPr>
  </w:style>
  <w:style w:type="character" w:customStyle="1" w:styleId="NORCInlineHeadingL2">
    <w:name w:val="NORC Inline Heading L2"/>
    <w:basedOn w:val="NORCInlineHeadingL1"/>
    <w:uiPriority w:val="7"/>
    <w:qFormat/>
    <w:rsid w:val="00172B3D"/>
    <w:rPr>
      <w:rFonts w:ascii="Arial" w:hAnsi="Arial"/>
      <w:b/>
      <w:i/>
      <w:color w:val="353435" w:themeColor="text1"/>
      <w:sz w:val="22"/>
    </w:rPr>
  </w:style>
  <w:style w:type="paragraph" w:customStyle="1" w:styleId="TableSpacer">
    <w:name w:val="Table Spacer"/>
    <w:basedOn w:val="Normal"/>
    <w:qFormat/>
    <w:rsid w:val="00172B3D"/>
    <w:rPr>
      <w:sz w:val="1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72B3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2B3D"/>
    <w:rPr>
      <w:rFonts w:ascii="Arial" w:hAnsi="Arial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172B3D"/>
    <w:rPr>
      <w:rFonts w:asciiTheme="majorHAnsi" w:hAnsiTheme="majorHAnsi" w:cstheme="majorHAnsi"/>
      <w:b/>
      <w:bCs/>
      <w:color w:val="797979" w:themeColor="background2" w:themeShade="80"/>
      <w:kern w:val="32"/>
      <w:sz w:val="24"/>
      <w:szCs w:val="32"/>
    </w:rPr>
  </w:style>
  <w:style w:type="paragraph" w:styleId="NoSpacing">
    <w:name w:val="No Spacing"/>
    <w:uiPriority w:val="1"/>
    <w:qFormat/>
    <w:rsid w:val="00172B3D"/>
    <w:rPr>
      <w:sz w:val="12"/>
    </w:rPr>
  </w:style>
  <w:style w:type="paragraph" w:styleId="TOC4">
    <w:name w:val="toc 4"/>
    <w:basedOn w:val="Normal"/>
    <w:next w:val="Normal"/>
    <w:autoRedefine/>
    <w:uiPriority w:val="39"/>
    <w:rsid w:val="006D01CF"/>
    <w:pPr>
      <w:tabs>
        <w:tab w:val="right" w:leader="dot" w:pos="10080"/>
      </w:tabs>
      <w:spacing w:after="60" w:line="240" w:lineRule="auto"/>
      <w:ind w:left="720"/>
    </w:pPr>
    <w:rPr>
      <w:noProof/>
    </w:rPr>
  </w:style>
  <w:style w:type="paragraph" w:customStyle="1" w:styleId="COVER-TypeofReport-ProximaFont">
    <w:name w:val="COVER - Type of Report  - Proxima Font"/>
    <w:qFormat/>
    <w:rsid w:val="00130D0F"/>
    <w:pPr>
      <w:spacing w:before="1700" w:after="40"/>
    </w:pPr>
    <w:rPr>
      <w:rFonts w:ascii="Arial Bold" w:hAnsi="Arial Bold"/>
      <w:b/>
      <w:caps/>
      <w:color w:val="797979" w:themeColor="background2" w:themeShade="80"/>
      <w:spacing w:val="20"/>
      <w:sz w:val="40"/>
    </w:rPr>
  </w:style>
  <w:style w:type="paragraph" w:customStyle="1" w:styleId="Cover-Date">
    <w:name w:val="Cover - Date"/>
    <w:qFormat/>
    <w:rsid w:val="00172B3D"/>
    <w:pPr>
      <w:spacing w:after="280"/>
    </w:pPr>
    <w:rPr>
      <w:rFonts w:ascii="Arial" w:hAnsi="Arial"/>
      <w:color w:val="7D7470"/>
      <w:spacing w:val="40"/>
      <w:sz w:val="24"/>
    </w:rPr>
  </w:style>
  <w:style w:type="paragraph" w:customStyle="1" w:styleId="CoverAuthorInfo">
    <w:name w:val="Cover Author Info"/>
    <w:qFormat/>
    <w:rsid w:val="00172B3D"/>
    <w:pPr>
      <w:spacing w:line="300" w:lineRule="exact"/>
    </w:pPr>
    <w:rPr>
      <w:rFonts w:ascii="Arial" w:hAnsi="Arial"/>
      <w:color w:val="615653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72B3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2B3D"/>
    <w:rPr>
      <w:rFonts w:ascii="Arial" w:eastAsia="Calibri" w:hAnsi="Arial"/>
    </w:rPr>
  </w:style>
  <w:style w:type="table" w:styleId="TableGridLight">
    <w:name w:val="Grid Table Light"/>
    <w:basedOn w:val="TableNormal"/>
    <w:uiPriority w:val="40"/>
    <w:rsid w:val="007A15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unhideWhenUsed/>
    <w:rsid w:val="00172B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2B3D"/>
    <w:rPr>
      <w:rFonts w:ascii="Arial" w:hAnsi="Arial"/>
      <w:color w:val="333333" w:themeColor="followedHyperlink"/>
      <w:sz w:val="22"/>
      <w:u w:val="single"/>
    </w:rPr>
  </w:style>
  <w:style w:type="paragraph" w:customStyle="1" w:styleId="NORCTableHeader3">
    <w:name w:val="NORC Table Header 3"/>
    <w:basedOn w:val="NORCTableHeader1"/>
    <w:qFormat/>
    <w:rsid w:val="00A90751"/>
    <w:pPr>
      <w:jc w:val="right"/>
    </w:pPr>
  </w:style>
  <w:style w:type="character" w:customStyle="1" w:styleId="Heading7Char">
    <w:name w:val="Heading 7 Char"/>
    <w:basedOn w:val="DefaultParagraphFont"/>
    <w:link w:val="Heading7"/>
    <w:uiPriority w:val="9"/>
    <w:rsid w:val="00172B3D"/>
    <w:rPr>
      <w:rFonts w:asciiTheme="majorHAnsi" w:eastAsiaTheme="majorEastAsia" w:hAnsiTheme="majorHAnsi" w:cstheme="majorBidi"/>
      <w:i/>
      <w:iCs/>
      <w:color w:val="191919" w:themeColor="accent1" w:themeShade="7F"/>
    </w:rPr>
  </w:style>
  <w:style w:type="paragraph" w:customStyle="1" w:styleId="NORCLogoplacement">
    <w:name w:val="NORC Logo placement"/>
    <w:basedOn w:val="Normal"/>
    <w:qFormat/>
    <w:rsid w:val="00172B3D"/>
    <w:pPr>
      <w:spacing w:after="320" w:line="240" w:lineRule="auto"/>
    </w:pPr>
    <w:rPr>
      <w:noProof/>
    </w:rPr>
  </w:style>
  <w:style w:type="paragraph" w:customStyle="1" w:styleId="508NORCORANGECA500A">
    <w:name w:val="508 NORC ORANGE #CA500A"/>
    <w:basedOn w:val="BodyText"/>
    <w:qFormat/>
    <w:rsid w:val="004521F4"/>
    <w:rPr>
      <w:color w:val="CA500A"/>
    </w:rPr>
  </w:style>
  <w:style w:type="paragraph" w:customStyle="1" w:styleId="NORCExhibit-TableFootnote">
    <w:name w:val="NORC Exhibit - Table Footnote"/>
    <w:basedOn w:val="Normal"/>
    <w:qFormat/>
    <w:rsid w:val="004C3318"/>
    <w:pPr>
      <w:tabs>
        <w:tab w:val="left" w:pos="450"/>
      </w:tabs>
      <w:spacing w:before="40" w:after="240" w:line="240" w:lineRule="auto"/>
    </w:pPr>
    <w:rPr>
      <w:rFonts w:eastAsia="Times New Roman" w:cs="Arial"/>
      <w:sz w:val="16"/>
      <w:szCs w:val="16"/>
    </w:rPr>
  </w:style>
  <w:style w:type="table" w:customStyle="1" w:styleId="NORCTable">
    <w:name w:val="NORC Table"/>
    <w:basedOn w:val="TableNormal"/>
    <w:uiPriority w:val="99"/>
    <w:rsid w:val="00AA16AF"/>
    <w:pPr>
      <w:spacing w:before="60" w:after="60"/>
    </w:pPr>
    <w:rPr>
      <w:rFonts w:ascii="Arial" w:hAnsi="Arial"/>
      <w:sz w:val="20"/>
    </w:rPr>
    <w:tblPr>
      <w:tblStyleRowBandSize w:val="1"/>
      <w:tblBorders>
        <w:insideV w:val="single" w:sz="2" w:space="0" w:color="F3F3F3" w:themeColor="background2"/>
      </w:tblBorders>
      <w:tblCellMar>
        <w:top w:w="29" w:type="dxa"/>
        <w:left w:w="72" w:type="dxa"/>
        <w:bottom w:w="29" w:type="dxa"/>
        <w:right w:w="72" w:type="dxa"/>
      </w:tblCellMar>
    </w:tblPr>
    <w:tcPr>
      <w:tcMar>
        <w:top w:w="29" w:type="dxa"/>
        <w:bottom w:w="29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80" w:beforeAutospacing="0" w:afterLines="0" w:after="8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Arial" w:hAnsi="Arial"/>
        <w:b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vertAlign w:val="baseline"/>
      </w:rPr>
      <w:tblPr/>
      <w:trPr>
        <w:tblHeader/>
      </w:trPr>
      <w:tcPr>
        <w:tcBorders>
          <w:top w:val="nil"/>
          <w:left w:val="nil"/>
          <w:bottom w:val="single" w:sz="12" w:space="0" w:color="353435" w:themeColor="text1"/>
          <w:right w:val="nil"/>
          <w:insideH w:val="nil"/>
          <w:insideV w:val="single" w:sz="2" w:space="0" w:color="F3F3F3" w:themeColor="background2"/>
          <w:tl2br w:val="nil"/>
          <w:tr2bl w:val="nil"/>
        </w:tcBorders>
        <w:shd w:val="clear" w:color="auto" w:fill="FAFAFA" w:themeFill="background2" w:themeFillTint="66"/>
        <w:vAlign w:val="bottom"/>
      </w:tcPr>
    </w:tblStylePr>
    <w:tblStylePr w:type="firstCol">
      <w:pPr>
        <w:jc w:val="left"/>
      </w:pPr>
      <w:rPr>
        <w:rFonts w:ascii="Arial" w:hAnsi="Arial"/>
        <w:sz w:val="20"/>
      </w:rPr>
    </w:tblStylePr>
    <w:tblStylePr w:type="band1Horz">
      <w:pPr>
        <w:keepNext w:val="0"/>
        <w:keepLines w:val="0"/>
        <w:pageBreakBefore w:val="0"/>
        <w:widowControl/>
        <w:suppressLineNumbers/>
        <w:suppressAutoHyphens/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sz w:val="20"/>
      </w:rPr>
    </w:tblStylePr>
    <w:tblStylePr w:type="band2Horz">
      <w:pPr>
        <w:keepNext w:val="0"/>
        <w:keepLines w:val="0"/>
        <w:pageBreakBefore w:val="0"/>
        <w:widowControl/>
        <w:suppressLineNumbers/>
        <w:suppressAutoHyphens/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3F3F3" w:themeColor="background2"/>
          <w:tl2br w:val="nil"/>
          <w:tr2bl w:val="nil"/>
        </w:tcBorders>
        <w:shd w:val="clear" w:color="auto" w:fill="FCFCFC" w:themeFill="background2" w:themeFillTint="33"/>
      </w:tcPr>
    </w:tblStylePr>
  </w:style>
  <w:style w:type="table" w:styleId="ListTable5Dark">
    <w:name w:val="List Table 5 Dark"/>
    <w:basedOn w:val="TableNormal"/>
    <w:uiPriority w:val="50"/>
    <w:rsid w:val="00F9322E"/>
    <w:rPr>
      <w:color w:val="FFFFFF" w:themeColor="background1"/>
    </w:rPr>
    <w:tblPr>
      <w:tblStyleRowBandSize w:val="1"/>
      <w:tblStyleColBandSize w:val="1"/>
      <w:tblBorders>
        <w:top w:val="single" w:sz="24" w:space="0" w:color="353435" w:themeColor="text1"/>
        <w:left w:val="single" w:sz="24" w:space="0" w:color="353435" w:themeColor="text1"/>
        <w:bottom w:val="single" w:sz="24" w:space="0" w:color="353435" w:themeColor="text1"/>
        <w:right w:val="single" w:sz="24" w:space="0" w:color="353435" w:themeColor="text1"/>
      </w:tblBorders>
    </w:tblPr>
    <w:tcPr>
      <w:shd w:val="clear" w:color="auto" w:fill="353435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4777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989A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989A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989A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989A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4777E0"/>
    <w:tblPr>
      <w:tblStyleRowBandSize w:val="1"/>
      <w:tblStyleColBandSize w:val="1"/>
      <w:tblBorders>
        <w:top w:val="single" w:sz="4" w:space="0" w:color="ADADAD" w:themeColor="accent1" w:themeTint="66"/>
        <w:left w:val="single" w:sz="4" w:space="0" w:color="ADADAD" w:themeColor="accent1" w:themeTint="66"/>
        <w:bottom w:val="single" w:sz="4" w:space="0" w:color="ADADAD" w:themeColor="accent1" w:themeTint="66"/>
        <w:right w:val="single" w:sz="4" w:space="0" w:color="ADADAD" w:themeColor="accent1" w:themeTint="66"/>
        <w:insideH w:val="single" w:sz="4" w:space="0" w:color="ADADAD" w:themeColor="accent1" w:themeTint="66"/>
        <w:insideV w:val="single" w:sz="4" w:space="0" w:color="ADAD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77E0"/>
    <w:tblPr>
      <w:tblStyleRowBandSize w:val="1"/>
      <w:tblStyleColBandSize w:val="1"/>
      <w:tblBorders>
        <w:top w:val="single" w:sz="4" w:space="0" w:color="F4DFB4" w:themeColor="accent4" w:themeTint="66"/>
        <w:left w:val="single" w:sz="4" w:space="0" w:color="F4DFB4" w:themeColor="accent4" w:themeTint="66"/>
        <w:bottom w:val="single" w:sz="4" w:space="0" w:color="F4DFB4" w:themeColor="accent4" w:themeTint="66"/>
        <w:right w:val="single" w:sz="4" w:space="0" w:color="F4DFB4" w:themeColor="accent4" w:themeTint="66"/>
        <w:insideH w:val="single" w:sz="4" w:space="0" w:color="F4DFB4" w:themeColor="accent4" w:themeTint="66"/>
        <w:insideV w:val="single" w:sz="4" w:space="0" w:color="F4DFB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E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6">
    <w:name w:val="List Table 5 Dark Accent 6"/>
    <w:basedOn w:val="TableNormal"/>
    <w:uiPriority w:val="50"/>
    <w:rsid w:val="00123E52"/>
    <w:rPr>
      <w:color w:val="FFFFFF" w:themeColor="background1"/>
    </w:rPr>
    <w:tblPr>
      <w:tblStyleRowBandSize w:val="1"/>
      <w:tblStyleColBandSize w:val="1"/>
      <w:tblBorders>
        <w:top w:val="single" w:sz="24" w:space="0" w:color="ADA39D" w:themeColor="accent6"/>
        <w:left w:val="single" w:sz="24" w:space="0" w:color="ADA39D" w:themeColor="accent6"/>
        <w:bottom w:val="single" w:sz="24" w:space="0" w:color="ADA39D" w:themeColor="accent6"/>
        <w:right w:val="single" w:sz="24" w:space="0" w:color="ADA39D" w:themeColor="accent6"/>
      </w:tblBorders>
    </w:tblPr>
    <w:tcPr>
      <w:shd w:val="clear" w:color="auto" w:fill="ADA39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02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5025D"/>
    <w:tblPr>
      <w:tblStyleRowBandSize w:val="1"/>
      <w:tblStyleColBandSize w:val="1"/>
      <w:tblBorders>
        <w:top w:val="single" w:sz="4" w:space="0" w:color="AEADAE" w:themeColor="text1" w:themeTint="66"/>
        <w:left w:val="single" w:sz="4" w:space="0" w:color="AEADAE" w:themeColor="text1" w:themeTint="66"/>
        <w:bottom w:val="single" w:sz="4" w:space="0" w:color="AEADAE" w:themeColor="text1" w:themeTint="66"/>
        <w:right w:val="single" w:sz="4" w:space="0" w:color="AEADAE" w:themeColor="text1" w:themeTint="66"/>
        <w:insideH w:val="single" w:sz="4" w:space="0" w:color="AEADAE" w:themeColor="text1" w:themeTint="66"/>
        <w:insideV w:val="single" w:sz="4" w:space="0" w:color="AEADAE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6848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848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CPresentedto">
    <w:name w:val="NORC Presented to"/>
    <w:next w:val="NORCCoverAddressInformation"/>
    <w:qFormat/>
    <w:rsid w:val="00396D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eastAsia="Times New Roman" w:hAnsi="Arial" w:cs="ArialMT"/>
      <w:caps/>
      <w:color w:val="353435" w:themeColor="text1"/>
      <w:spacing w:val="10"/>
      <w:lang w:bidi="en-US"/>
    </w:rPr>
  </w:style>
  <w:style w:type="character" w:customStyle="1" w:styleId="articlebreadcrumbs">
    <w:name w:val="article__breadcrumbs"/>
    <w:basedOn w:val="DefaultParagraphFont"/>
    <w:rsid w:val="00396DA6"/>
  </w:style>
  <w:style w:type="character" w:customStyle="1" w:styleId="ListParagraphChar">
    <w:name w:val="List Paragraph Char"/>
    <w:aliases w:val="List Square Char,Table bullet Char,Resume Title Char,Citation List Char,heading 4 Char,Graphic Char,List Paragraph1 Char,1st level - Bullet List Paragraph Char,Lettre d'introduction Char,Paragrafo elenco Char,Bullet list Char,Ha Char"/>
    <w:basedOn w:val="DefaultParagraphFont"/>
    <w:link w:val="ListParagraph"/>
    <w:uiPriority w:val="34"/>
    <w:locked/>
    <w:rsid w:val="00396DA6"/>
    <w:rPr>
      <w:rFonts w:ascii="Arial" w:hAnsi="Arial"/>
    </w:rPr>
  </w:style>
  <w:style w:type="paragraph" w:styleId="Revision">
    <w:name w:val="Revision"/>
    <w:hidden/>
    <w:uiPriority w:val="99"/>
    <w:semiHidden/>
    <w:rsid w:val="00396DA6"/>
    <w:rPr>
      <w:sz w:val="24"/>
    </w:rPr>
  </w:style>
  <w:style w:type="table" w:customStyle="1" w:styleId="ListTable31">
    <w:name w:val="List Table 31"/>
    <w:basedOn w:val="TableNormal"/>
    <w:next w:val="ListTable3"/>
    <w:uiPriority w:val="48"/>
    <w:rsid w:val="00396DA6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396DA6"/>
    <w:tblPr>
      <w:tblStyleRowBandSize w:val="1"/>
      <w:tblStyleColBandSize w:val="1"/>
      <w:tblBorders>
        <w:top w:val="single" w:sz="4" w:space="0" w:color="353435" w:themeColor="text1"/>
        <w:left w:val="single" w:sz="4" w:space="0" w:color="353435" w:themeColor="text1"/>
        <w:bottom w:val="single" w:sz="4" w:space="0" w:color="353435" w:themeColor="text1"/>
        <w:right w:val="single" w:sz="4" w:space="0" w:color="35343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3435" w:themeFill="text1"/>
      </w:tcPr>
    </w:tblStylePr>
    <w:tblStylePr w:type="lastRow">
      <w:rPr>
        <w:b/>
        <w:bCs/>
      </w:rPr>
      <w:tblPr/>
      <w:tcPr>
        <w:tcBorders>
          <w:top w:val="double" w:sz="4" w:space="0" w:color="35343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3435" w:themeColor="text1"/>
          <w:right w:val="single" w:sz="4" w:space="0" w:color="353435" w:themeColor="text1"/>
        </w:tcBorders>
      </w:tcPr>
    </w:tblStylePr>
    <w:tblStylePr w:type="band1Horz">
      <w:tblPr/>
      <w:tcPr>
        <w:tcBorders>
          <w:top w:val="single" w:sz="4" w:space="0" w:color="353435" w:themeColor="text1"/>
          <w:bottom w:val="single" w:sz="4" w:space="0" w:color="35343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3435" w:themeColor="text1"/>
          <w:left w:val="nil"/>
        </w:tcBorders>
      </w:tcPr>
    </w:tblStylePr>
    <w:tblStylePr w:type="swCell">
      <w:tblPr/>
      <w:tcPr>
        <w:tcBorders>
          <w:top w:val="double" w:sz="4" w:space="0" w:color="353435" w:themeColor="text1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396DA6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96DA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396DA6"/>
    <w:tblPr>
      <w:tblStyleRowBandSize w:val="1"/>
      <w:tblBorders>
        <w:top w:val="single" w:sz="4" w:space="0" w:color="B6B6B6" w:themeColor="background2" w:themeShade="BF"/>
        <w:left w:val="single" w:sz="4" w:space="0" w:color="B6B6B6" w:themeColor="background2" w:themeShade="BF"/>
        <w:bottom w:val="single" w:sz="4" w:space="0" w:color="B6B6B6" w:themeColor="background2" w:themeShade="BF"/>
        <w:right w:val="single" w:sz="4" w:space="0" w:color="B6B6B6" w:themeColor="background2" w:themeShade="BF"/>
        <w:insideV w:val="single" w:sz="4" w:space="0" w:color="B6B6B6" w:themeColor="background2" w:themeShade="BF"/>
      </w:tblBorders>
    </w:tblPr>
    <w:tcPr>
      <w:shd w:val="clear" w:color="auto" w:fill="F7F7F7" w:themeFill="background2" w:themeFillTint="99"/>
    </w:tcPr>
    <w:tblStylePr w:type="firstRow">
      <w:tblPr/>
      <w:tcPr>
        <w:shd w:val="clear" w:color="auto" w:fill="F7F7F7" w:themeFill="background2" w:themeFillTint="99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insideH w:val="nil"/>
        </w:tcBorders>
        <w:shd w:val="clear" w:color="auto" w:fill="FCFCFC" w:themeFill="background2" w:themeFillTint="33"/>
      </w:tcPr>
    </w:tblStylePr>
  </w:style>
  <w:style w:type="table" w:customStyle="1" w:styleId="Style2">
    <w:name w:val="Style2"/>
    <w:basedOn w:val="TableNormal"/>
    <w:uiPriority w:val="99"/>
    <w:rsid w:val="00396DA6"/>
    <w:tblPr>
      <w:tblStyleRowBandSize w:val="1"/>
      <w:tblBorders>
        <w:top w:val="single" w:sz="4" w:space="0" w:color="B6B6B6" w:themeColor="background2" w:themeShade="BF"/>
        <w:left w:val="single" w:sz="4" w:space="0" w:color="B6B6B6" w:themeColor="background2" w:themeShade="BF"/>
        <w:bottom w:val="single" w:sz="4" w:space="0" w:color="B6B6B6" w:themeColor="background2" w:themeShade="BF"/>
        <w:right w:val="single" w:sz="4" w:space="0" w:color="B6B6B6" w:themeColor="background2" w:themeShade="BF"/>
        <w:insideH w:val="single" w:sz="4" w:space="0" w:color="B6B6B6" w:themeColor="background2" w:themeShade="BF"/>
        <w:insideV w:val="single" w:sz="4" w:space="0" w:color="B6B6B6" w:themeColor="background2" w:themeShade="BF"/>
      </w:tblBorders>
    </w:tblPr>
    <w:tblStylePr w:type="firstCol">
      <w:tblPr/>
      <w:tcPr>
        <w:shd w:val="clear" w:color="auto" w:fill="F7F7F7" w:themeFill="background2" w:themeFillTint="99"/>
      </w:tcPr>
    </w:tblStylePr>
    <w:tblStylePr w:type="band2Horz">
      <w:tblPr/>
      <w:tcPr>
        <w:tcBorders>
          <w:insideH w:val="single" w:sz="4" w:space="0" w:color="FFFFFF" w:themeColor="background1"/>
        </w:tcBorders>
        <w:shd w:val="clear" w:color="auto" w:fill="FCFCFC" w:themeFill="background2" w:themeFillTint="33"/>
      </w:tcPr>
    </w:tblStylePr>
  </w:style>
  <w:style w:type="table" w:customStyle="1" w:styleId="Style3">
    <w:name w:val="Style3"/>
    <w:basedOn w:val="TableNormal"/>
    <w:uiPriority w:val="99"/>
    <w:rsid w:val="00396DA6"/>
    <w:tblPr>
      <w:tblBorders>
        <w:top w:val="single" w:sz="4" w:space="0" w:color="B6B6B6" w:themeColor="background2" w:themeShade="BF"/>
        <w:left w:val="single" w:sz="4" w:space="0" w:color="B6B6B6" w:themeColor="background2" w:themeShade="BF"/>
        <w:bottom w:val="single" w:sz="4" w:space="0" w:color="B6B6B6" w:themeColor="background2" w:themeShade="BF"/>
        <w:right w:val="single" w:sz="4" w:space="0" w:color="B6B6B6" w:themeColor="background2" w:themeShade="BF"/>
        <w:insideH w:val="single" w:sz="4" w:space="0" w:color="B6B6B6" w:themeColor="background2" w:themeShade="BF"/>
        <w:insideV w:val="single" w:sz="4" w:space="0" w:color="B6B6B6" w:themeColor="background2" w:themeShade="BF"/>
      </w:tblBorders>
    </w:tblPr>
    <w:tblStylePr w:type="firstRow">
      <w:tblPr/>
      <w:tcPr>
        <w:shd w:val="clear" w:color="auto" w:fill="F7F7F7" w:themeFill="background2" w:themeFillTint="99"/>
      </w:tcPr>
    </w:tblStylePr>
  </w:style>
  <w:style w:type="paragraph" w:customStyle="1" w:styleId="NORCTableFootnote">
    <w:name w:val="NORC Table Footnote"/>
    <w:basedOn w:val="NORCTableBodyLeft"/>
    <w:qFormat/>
    <w:rsid w:val="00396DA6"/>
    <w:pPr>
      <w:spacing w:after="480"/>
    </w:pPr>
    <w:rPr>
      <w:sz w:val="18"/>
    </w:rPr>
  </w:style>
  <w:style w:type="paragraph" w:styleId="Quote">
    <w:name w:val="Quote"/>
    <w:basedOn w:val="Normal"/>
    <w:next w:val="Normal"/>
    <w:link w:val="QuoteChar"/>
    <w:uiPriority w:val="6"/>
    <w:qFormat/>
    <w:rsid w:val="00065610"/>
    <w:pPr>
      <w:spacing w:after="40" w:line="240" w:lineRule="auto"/>
      <w:jc w:val="center"/>
    </w:pPr>
    <w:rPr>
      <w:rFonts w:asciiTheme="majorHAnsi" w:hAnsiTheme="majorHAnsi" w:cstheme="minorBidi"/>
      <w:i/>
      <w:iCs/>
      <w:color w:val="353435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065610"/>
    <w:rPr>
      <w:rFonts w:asciiTheme="majorHAnsi" w:hAnsiTheme="majorHAnsi" w:cstheme="minorBidi"/>
      <w:i/>
      <w:iCs/>
      <w:color w:val="353435" w:themeColor="text1"/>
      <w:szCs w:val="24"/>
    </w:rPr>
  </w:style>
  <w:style w:type="paragraph" w:customStyle="1" w:styleId="Quote2">
    <w:name w:val="Quote 2"/>
    <w:basedOn w:val="ListParagraph"/>
    <w:qFormat/>
    <w:rsid w:val="00C141F5"/>
    <w:pPr>
      <w:spacing w:before="120" w:after="40" w:line="240" w:lineRule="auto"/>
      <w:ind w:left="0"/>
      <w:contextualSpacing w:val="0"/>
      <w:jc w:val="right"/>
    </w:pPr>
    <w:rPr>
      <w:rFonts w:ascii="Verdana" w:eastAsia="Times New Roman" w:hAnsi="Verdana"/>
      <w:color w:val="262626"/>
      <w:sz w:val="20"/>
      <w:szCs w:val="18"/>
      <w:lang w:eastAsia="ja-JP"/>
    </w:rPr>
  </w:style>
  <w:style w:type="paragraph" w:customStyle="1" w:styleId="CallOut1">
    <w:name w:val="Call Out 1"/>
    <w:basedOn w:val="Normal"/>
    <w:qFormat/>
    <w:rsid w:val="00065610"/>
    <w:pPr>
      <w:framePr w:hSpace="187" w:vSpace="86" w:wrap="around" w:vAnchor="text" w:hAnchor="margin" w:xAlign="right" w:y="1410"/>
    </w:pPr>
    <w:rPr>
      <w:color w:val="353435" w:themeColor="text1"/>
    </w:rPr>
  </w:style>
  <w:style w:type="paragraph" w:customStyle="1" w:styleId="CallOut2">
    <w:name w:val="Call Out 2"/>
    <w:basedOn w:val="Normal"/>
    <w:qFormat/>
    <w:rsid w:val="00065610"/>
    <w:pPr>
      <w:framePr w:hSpace="187" w:vSpace="86" w:wrap="around" w:vAnchor="text" w:hAnchor="margin" w:xAlign="right" w:y="1410"/>
      <w:spacing w:before="40" w:after="40" w:line="240" w:lineRule="auto"/>
    </w:pPr>
    <w:rPr>
      <w:color w:val="353435" w:themeColor="text1"/>
    </w:rPr>
  </w:style>
  <w:style w:type="paragraph" w:styleId="Index5">
    <w:name w:val="index 5"/>
    <w:basedOn w:val="Normal"/>
    <w:next w:val="Normal"/>
    <w:autoRedefine/>
    <w:uiPriority w:val="99"/>
    <w:unhideWhenUsed/>
    <w:rsid w:val="00AA16AF"/>
    <w:pPr>
      <w:spacing w:line="240" w:lineRule="auto"/>
      <w:ind w:left="1100" w:hanging="220"/>
    </w:pPr>
  </w:style>
  <w:style w:type="character" w:styleId="Strong">
    <w:name w:val="Strong"/>
    <w:basedOn w:val="DefaultParagraphFont"/>
    <w:uiPriority w:val="22"/>
    <w:qFormat/>
    <w:rsid w:val="00394CD5"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rsid w:val="00857B6A"/>
    <w:rPr>
      <w:vertAlign w:val="superscript"/>
    </w:rPr>
  </w:style>
  <w:style w:type="paragraph" w:customStyle="1" w:styleId="Header7">
    <w:name w:val="Header 7"/>
    <w:basedOn w:val="Normal"/>
    <w:link w:val="Header7Char"/>
    <w:qFormat/>
    <w:rsid w:val="00091C20"/>
    <w:pPr>
      <w:keepNext/>
      <w:pBdr>
        <w:top w:val="single" w:sz="24" w:space="1" w:color="FFFFFF" w:themeColor="background1"/>
        <w:left w:val="single" w:sz="24" w:space="4" w:color="FFFFFF" w:themeColor="background1"/>
        <w:bottom w:val="single" w:sz="24" w:space="1" w:color="FFFFFF" w:themeColor="background1"/>
        <w:right w:val="single" w:sz="24" w:space="4" w:color="FFFFFF" w:themeColor="background1"/>
      </w:pBdr>
      <w:shd w:val="clear" w:color="auto" w:fill="FFFFFF" w:themeFill="background1"/>
      <w:spacing w:before="360" w:after="120" w:line="240" w:lineRule="auto"/>
      <w:contextualSpacing/>
      <w:outlineLvl w:val="1"/>
    </w:pPr>
    <w:rPr>
      <w:rFonts w:eastAsia="Garamond"/>
      <w:color w:val="353435" w:themeColor="text1"/>
      <w:sz w:val="46"/>
      <w:szCs w:val="20"/>
    </w:rPr>
  </w:style>
  <w:style w:type="character" w:customStyle="1" w:styleId="Header7Char">
    <w:name w:val="Header 7 Char"/>
    <w:basedOn w:val="DefaultParagraphFont"/>
    <w:link w:val="Header7"/>
    <w:rsid w:val="00091C20"/>
    <w:rPr>
      <w:rFonts w:ascii="Arial" w:eastAsia="Garamond" w:hAnsi="Arial"/>
      <w:color w:val="353435" w:themeColor="text1"/>
      <w:sz w:val="46"/>
      <w:szCs w:val="20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6160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256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514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087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657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60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4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51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4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5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6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94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48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oi.org/10.1016/S2214-109X(17)30428-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ORC">
  <a:themeElements>
    <a:clrScheme name="ACOG Annual Clinical and Scientific Meeting">
      <a:dk1>
        <a:srgbClr val="353435"/>
      </a:dk1>
      <a:lt1>
        <a:srgbClr val="FFFFFF"/>
      </a:lt1>
      <a:dk2>
        <a:srgbClr val="3F387C"/>
      </a:dk2>
      <a:lt2>
        <a:srgbClr val="F3F3F3"/>
      </a:lt2>
      <a:accent1>
        <a:srgbClr val="333333"/>
      </a:accent1>
      <a:accent2>
        <a:srgbClr val="007C9A"/>
      </a:accent2>
      <a:accent3>
        <a:srgbClr val="00A887"/>
      </a:accent3>
      <a:accent4>
        <a:srgbClr val="E4B146"/>
      </a:accent4>
      <a:accent5>
        <a:srgbClr val="EC712E"/>
      </a:accent5>
      <a:accent6>
        <a:srgbClr val="ADA39D"/>
      </a:accent6>
      <a:hlink>
        <a:srgbClr val="333333"/>
      </a:hlink>
      <a:folHlink>
        <a:srgbClr val="333333"/>
      </a:folHlink>
    </a:clrScheme>
    <a:fontScheme name="NORC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937c2-c72e-4da0-8099-8e72a155abb7" xsi:nil="true"/>
    <lcf76f155ced4ddcb4097134ff3c332f xmlns="6aa5e02b-4df6-4c79-9c8d-ee7c734493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160C4A60E2147AF0D05C24D38688D" ma:contentTypeVersion="35" ma:contentTypeDescription="Create a new document." ma:contentTypeScope="" ma:versionID="082e1565b625ece1e6824752e7bed943">
  <xsd:schema xmlns:xsd="http://www.w3.org/2001/XMLSchema" xmlns:xs="http://www.w3.org/2001/XMLSchema" xmlns:p="http://schemas.microsoft.com/office/2006/metadata/properties" xmlns:ns2="928497c2-ee30-46df-be77-7d1a4769719c" xmlns:ns3="6aa5e02b-4df6-4c79-9c8d-ee7c734493be" xmlns:ns4="a05937c2-c72e-4da0-8099-8e72a155abb7" targetNamespace="http://schemas.microsoft.com/office/2006/metadata/properties" ma:root="true" ma:fieldsID="c2aae3e3e647ebdc46eb91a0c5303b8b" ns2:_="" ns3:_="" ns4:_="">
    <xsd:import namespace="928497c2-ee30-46df-be77-7d1a4769719c"/>
    <xsd:import namespace="6aa5e02b-4df6-4c79-9c8d-ee7c734493be"/>
    <xsd:import namespace="a05937c2-c72e-4da0-8099-8e72a155a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97c2-ee30-46df-be77-7d1a47697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5e02b-4df6-4c79-9c8d-ee7c73449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4e9c50f-5121-4b51-9dac-899911778bbf}" ma:internalName="TaxCatchAll" ma:showField="CatchAllData" ma:web="928497c2-ee30-46df-be77-7d1a47697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44a5fc2-e1de-4226-a417-e5990e3526f4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4470-2402-4AC3-A8C4-7083BD887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F5A1D-E73D-4F40-A711-78340F2375D4}">
  <ds:schemaRefs>
    <ds:schemaRef ds:uri="http://schemas.microsoft.com/office/2006/metadata/properties"/>
    <ds:schemaRef ds:uri="http://schemas.microsoft.com/office/infopath/2007/PartnerControls"/>
    <ds:schemaRef ds:uri="a05937c2-c72e-4da0-8099-8e72a155abb7"/>
    <ds:schemaRef ds:uri="6aa5e02b-4df6-4c79-9c8d-ee7c734493be"/>
  </ds:schemaRefs>
</ds:datastoreItem>
</file>

<file path=customXml/itemProps3.xml><?xml version="1.0" encoding="utf-8"?>
<ds:datastoreItem xmlns:ds="http://schemas.openxmlformats.org/officeDocument/2006/customXml" ds:itemID="{F0A56CB7-B69E-4FAF-9F9E-6E093C91D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497c2-ee30-46df-be77-7d1a4769719c"/>
    <ds:schemaRef ds:uri="6aa5e02b-4df6-4c79-9c8d-ee7c734493be"/>
    <ds:schemaRef ds:uri="a05937c2-c72e-4da0-8099-8e72a155a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AC0B8-A5F1-4203-873C-30B2592591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8D5B7FF-E528-4418-8DF8-B2C989C4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Company>NORC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Yajaira Gijon</dc:creator>
  <cp:keywords/>
  <cp:lastModifiedBy>Crystal Ng</cp:lastModifiedBy>
  <cp:revision>2</cp:revision>
  <dcterms:created xsi:type="dcterms:W3CDTF">2025-03-27T15:55:00Z</dcterms:created>
  <dcterms:modified xsi:type="dcterms:W3CDTF">2025-03-27T15:55:00Z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0x01010091A160C4A60E2147AF0D05C24D38688D</vt:lpwstr>
  </property>
  <property fmtid="{D5CDD505-2E9C-101B-9397-08002B2CF9AE}" pid="3" name="Department Tags">
    <vt:lpwstr/>
  </property>
  <property fmtid="{D5CDD505-2E9C-101B-9397-08002B2CF9AE}" pid="4" name="Topic Tags">
    <vt:lpwstr/>
  </property>
  <property fmtid="{D5CDD505-2E9C-101B-9397-08002B2CF9AE}" pid="5" name="Project Tags">
    <vt:lpwstr/>
  </property>
  <property fmtid="{D5CDD505-2E9C-101B-9397-08002B2CF9AE}" pid="6" name="Document Type">
    <vt:lpwstr/>
  </property>
  <property fmtid="{D5CDD505-2E9C-101B-9397-08002B2CF9AE}" pid="7" name="Location Tags">
    <vt:lpwstr/>
  </property>
  <property fmtid="{D5CDD505-2E9C-101B-9397-08002B2CF9AE}" pid="8" name="MediaServiceImageTags">
    <vt:lpwstr/>
  </property>
  <property fmtid="{D5CDD505-2E9C-101B-9397-08002B2CF9AE}" pid="9" name="GrammarlyDocumentId">
    <vt:lpwstr>88b3112b02d3a1556345f21c10e011df92e89d9a24ed9fb69c6c043805fca89f</vt:lpwstr>
  </property>
</Properties>
</file>